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8E693" w14:textId="3B6185D5" w:rsidR="005701F3" w:rsidRDefault="000244C2" w:rsidP="005701F3">
      <w:pPr>
        <w:ind w:left="142"/>
        <w:jc w:val="right"/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392D097C" wp14:editId="04C3E0CA">
            <wp:extent cx="6188710" cy="188404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01F3" w:rsidRPr="005701F3">
        <w:rPr>
          <w:b/>
          <w:bCs/>
          <w:i/>
          <w:iCs/>
        </w:rPr>
        <w:t xml:space="preserve"> </w:t>
      </w:r>
    </w:p>
    <w:p w14:paraId="3990D6A4" w14:textId="7ED27D19" w:rsidR="00F616B9" w:rsidRDefault="00F616B9" w:rsidP="005C7D85">
      <w:pPr>
        <w:ind w:left="142"/>
      </w:pPr>
    </w:p>
    <w:p w14:paraId="048711CC" w14:textId="77777777" w:rsidR="00AB57B2" w:rsidRPr="00AB57B2" w:rsidRDefault="000F2F2E" w:rsidP="00AB57B2">
      <w:pPr>
        <w:pStyle w:val="Titre2"/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C3CFB" wp14:editId="09EC25CE">
                <wp:simplePos x="0" y="0"/>
                <wp:positionH relativeFrom="column">
                  <wp:posOffset>148924</wp:posOffset>
                </wp:positionH>
                <wp:positionV relativeFrom="paragraph">
                  <wp:posOffset>752055</wp:posOffset>
                </wp:positionV>
                <wp:extent cx="418454" cy="4633993"/>
                <wp:effectExtent l="0" t="0" r="127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54" cy="4633993"/>
                        </a:xfrm>
                        <a:prstGeom prst="rect">
                          <a:avLst/>
                        </a:prstGeom>
                        <a:solidFill>
                          <a:srgbClr val="D5D5CB">
                            <a:alpha val="8392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5F573" w14:textId="77777777" w:rsidR="00F616B9" w:rsidRPr="008361EB" w:rsidRDefault="008361EB" w:rsidP="00F616B9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1EB"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Synthèse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EC3CFB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1.75pt;margin-top:59.2pt;width:32.95pt;height:3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zklQIAAIwFAAAOAAAAZHJzL2Uyb0RvYy54bWysVN9v2jAQfp+0/8Hy+5oAgQJqqCio06Sq&#10;rdZOfTaOTaI5Ps82JOyv39kJ0HV76bQXx+f77teXu7u6bmtF9sK6CnROBxcpJUJzKCq9zem359tP&#10;U0qcZ7pgCrTI6UE4er34+OGqMXMxhBJUISxBJ9rNG5PT0nszTxLHS1EzdwFGaFRKsDXzKNptUljW&#10;oPdaJcM0nSQN2MJY4MI5fF13SrqI/qUU3D9I6YQnKqeYm4+njecmnMniis23lpmy4n0a7B+yqFml&#10;MejJ1Zp5Rna2+sNVXXELDqS/4FAnIGXFRawBqxmkb6p5KpkRsRYkx5kTTe7/ueX3+yfzaIlvb6DF&#10;HxgIaYybO3wM9bTS1uGLmRLUI4WHE22i9YTjYzaYZuOMEo6qbDIazWaj4CY5Wxvr/GcBNQmXnFr8&#10;LZEttr9zvoMeISGYA1UVt5VSUbDbzUpZsmf4C9fj9Xh109kqU7LudTqaDYd9SNfBY/jf/ChNmpxO&#10;RuM0mmsIAbrYSodAIrZLn9CZg3jzByUCRumvQpKqiFTE7EKjilN+jHOhfWQRy4/ogJIY6j2GPf6c&#10;1XuMuzrQIkYG7U/GdaXBxurjfJ3TLr4fU5YdHul7VXe4+nbT9r2xgeKALWOhmyZn+G2F//WOOf/I&#10;LI4PdgmuBP+Ah1SArEN/o6QE+/Nv7wGf03AOL9G8wYnMqfuxY1ZQor5obPnZIMvCCEdhNElTFOxr&#10;zSYK2fhyiBq9q1eAHTPA/WN4vAa8V8ertFC/4PJYhsCoYppjcjnl3h6Fle82Ba4fLpbLCMOxNczf&#10;6SfDg/PAcWjd5/aFWdP3t8fJuIfj9LL5mzbvsMFSw3LnQVZxBgLLHbU9+zjysY379RR2yms5os5L&#10;dPELAAD//wMAUEsDBBQABgAIAAAAIQCmnUWW3gAAAAkBAAAPAAAAZHJzL2Rvd25yZXYueG1sTI9B&#10;T4NAEIXvJv0Pm2nixbRLaW0QWZqmiYkcpV68bdkRiOwsYZeC/fWOJz29zLyXN99kh9l24oqDbx0p&#10;2KwjEEiVMy3VCt7PL6sEhA+ajO4coYJv9HDIF3eZTo2b6A2vZagFl5BPtYImhD6V0lcNWu3Xrkdi&#10;79MNVgceh1qaQU9cbjsZR9FeWt0SX2h0j6cGq69ytAo+ynLrH8bzK023NrY3LHxR9ErdL+fjM4iA&#10;c/gLwy8+o0POTBc3kvGiUxBvHznJ+02yA8GB5In1wrpLYpB5Jv9/kP8AAAD//wMAUEsBAi0AFAAG&#10;AAgAAAAhALaDOJL+AAAA4QEAABMAAAAAAAAAAAAAAAAAAAAAAFtDb250ZW50X1R5cGVzXS54bWxQ&#10;SwECLQAUAAYACAAAACEAOP0h/9YAAACUAQAACwAAAAAAAAAAAAAAAAAvAQAAX3JlbHMvLnJlbHNQ&#10;SwECLQAUAAYACAAAACEAVrDc5JUCAACMBQAADgAAAAAAAAAAAAAAAAAuAgAAZHJzL2Uyb0RvYy54&#10;bWxQSwECLQAUAAYACAAAACEApp1Flt4AAAAJAQAADwAAAAAAAAAAAAAAAADvBAAAZHJzL2Rvd25y&#10;ZXYueG1sUEsFBgAAAAAEAAQA8wAAAPoFAAAAAA==&#10;" fillcolor="#d5d5cb" stroked="f" strokeweight=".5pt">
                <v:fill opacity="54998f"/>
                <v:textbox style="layout-flow:vertical;mso-layout-flow-alt:bottom-to-top" inset=",1mm">
                  <w:txbxContent>
                    <w:p w14:paraId="1715F573" w14:textId="77777777" w:rsidR="00F616B9" w:rsidRPr="008361EB" w:rsidRDefault="008361EB" w:rsidP="00F616B9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1EB"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Synthèse</w:t>
                      </w:r>
                    </w:p>
                  </w:txbxContent>
                </v:textbox>
              </v:shape>
            </w:pict>
          </mc:Fallback>
        </mc:AlternateContent>
      </w:r>
      <w:r w:rsidR="0089402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73014A" wp14:editId="2E05493A">
                <wp:simplePos x="0" y="0"/>
                <wp:positionH relativeFrom="margin">
                  <wp:posOffset>14605</wp:posOffset>
                </wp:positionH>
                <wp:positionV relativeFrom="paragraph">
                  <wp:posOffset>661670</wp:posOffset>
                </wp:positionV>
                <wp:extent cx="5968365" cy="48863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488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19902" w14:textId="1BCEF647" w:rsidR="00F616B9" w:rsidRPr="00AA164D" w:rsidRDefault="00F616B9" w:rsidP="00F616B9">
                            <w:pPr>
                              <w:ind w:left="851"/>
                              <w:jc w:val="both"/>
                            </w:pPr>
                            <w:r>
                              <w:t xml:space="preserve">En matière de tabagisme, </w:t>
                            </w:r>
                            <w:r w:rsidRPr="00AA164D">
                              <w:t>la population adulte</w:t>
                            </w:r>
                            <w:r>
                              <w:t xml:space="preserve"> se distingue par des indicateurs de consommation notablement supérieurs</w:t>
                            </w:r>
                            <w:r w:rsidRPr="00AA164D">
                              <w:t xml:space="preserve"> (en 2017, 31</w:t>
                            </w:r>
                            <w:r w:rsidR="00704F1F">
                              <w:t> </w:t>
                            </w:r>
                            <w:r w:rsidRPr="00AA164D">
                              <w:t>% des 18-75 ans étaient des fumeurs quotidiens, contre 27</w:t>
                            </w:r>
                            <w:r w:rsidR="00704F1F">
                              <w:t> </w:t>
                            </w:r>
                            <w:r w:rsidRPr="00AA164D">
                              <w:t>% sur l’ensemb</w:t>
                            </w:r>
                            <w:r>
                              <w:t>le de la France métropolitaine).</w:t>
                            </w:r>
                            <w:r w:rsidRPr="00AA164D">
                              <w:t xml:space="preserve"> </w:t>
                            </w:r>
                            <w:r w:rsidR="00704F1F">
                              <w:t>En revanche, l</w:t>
                            </w:r>
                            <w:r w:rsidR="00C41E43">
                              <w:t>es</w:t>
                            </w:r>
                            <w:r w:rsidR="00745541">
                              <w:t xml:space="preserve"> consommations de tabac des</w:t>
                            </w:r>
                            <w:r w:rsidR="00C41E43">
                              <w:t xml:space="preserve"> jeunes</w:t>
                            </w:r>
                            <w:r w:rsidR="00745541">
                              <w:t xml:space="preserve"> de 17 ans</w:t>
                            </w:r>
                            <w:r w:rsidR="00C41E43">
                              <w:t xml:space="preserve"> de la région</w:t>
                            </w:r>
                            <w:r w:rsidR="00704F1F">
                              <w:t xml:space="preserve"> </w:t>
                            </w:r>
                            <w:r w:rsidR="00C41E43">
                              <w:t>se s</w:t>
                            </w:r>
                            <w:r w:rsidR="00745541">
                              <w:t>ituent dans la moyenne nationale</w:t>
                            </w:r>
                            <w:r w:rsidRPr="00AA164D">
                              <w:t xml:space="preserve">. </w:t>
                            </w:r>
                            <w:r w:rsidR="00C41E43">
                              <w:t>Dans ce contexte de consommation</w:t>
                            </w:r>
                            <w:r w:rsidRPr="00AA164D">
                              <w:t>, la mortalité liée aux cancers des voies pulmonaires ne se détache</w:t>
                            </w:r>
                            <w:r>
                              <w:t xml:space="preserve"> </w:t>
                            </w:r>
                            <w:r w:rsidRPr="00AA164D">
                              <w:t xml:space="preserve">pas de la moyenne nationale. </w:t>
                            </w:r>
                          </w:p>
                          <w:p w14:paraId="0BB79C8C" w14:textId="6B7738D4" w:rsidR="00F616B9" w:rsidRDefault="00F616B9" w:rsidP="00F616B9">
                            <w:pPr>
                              <w:ind w:left="851"/>
                              <w:jc w:val="both"/>
                            </w:pPr>
                            <w:r>
                              <w:t xml:space="preserve">S’agissant de l’alcool, </w:t>
                            </w:r>
                            <w:r w:rsidR="00897AD5">
                              <w:t xml:space="preserve">tandis que les adultes de la région se différencient peu de la moyenne nationale (en dehors des niveaux d’usage quotidien de boissons alcoolisées, plus importants), </w:t>
                            </w:r>
                            <w:r>
                              <w:t>les jeunes de 17 ans se démarquent quasi-systématiquement des autres régions</w:t>
                            </w:r>
                            <w:r w:rsidR="00704F1F">
                              <w:t xml:space="preserve"> </w:t>
                            </w:r>
                            <w:r>
                              <w:t>par des prévalences d’usage moins import</w:t>
                            </w:r>
                            <w:r w:rsidR="00897AD5">
                              <w:t>antes</w:t>
                            </w:r>
                            <w:r>
                              <w:t>. En termes de conséquences des usages, la région P</w:t>
                            </w:r>
                            <w:r w:rsidR="00704F1F">
                              <w:t>rovence-</w:t>
                            </w:r>
                            <w:r>
                              <w:t>A</w:t>
                            </w:r>
                            <w:r w:rsidR="00704F1F">
                              <w:t>lpes-</w:t>
                            </w:r>
                            <w:r>
                              <w:t>C</w:t>
                            </w:r>
                            <w:r w:rsidR="00704F1F">
                              <w:t>ôte d’Azur</w:t>
                            </w:r>
                            <w:r>
                              <w:t xml:space="preserve"> affiche un niveau de mortalité prématurée liée à l’alcool</w:t>
                            </w:r>
                            <w:r w:rsidRPr="00F85A10">
                              <w:t xml:space="preserve"> </w:t>
                            </w:r>
                            <w:r w:rsidR="00897AD5">
                              <w:t xml:space="preserve">(alcoolisme et cirrhose) </w:t>
                            </w:r>
                            <w:r>
                              <w:t xml:space="preserve">inférieur à </w:t>
                            </w:r>
                            <w:r w:rsidR="00AF46B0">
                              <w:t>ce qui est observé au plan</w:t>
                            </w:r>
                            <w:r>
                              <w:t xml:space="preserve"> national.</w:t>
                            </w:r>
                          </w:p>
                          <w:p w14:paraId="1DFD70E4" w14:textId="77777777" w:rsidR="00F616B9" w:rsidRDefault="00F616B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 xml:space="preserve">Pour le cannabis, le niveau d’expérimentation </w:t>
                            </w:r>
                            <w:r w:rsidR="0089402F">
                              <w:t>parmi l’ensemble de la population s’avère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élevé</w:t>
                            </w:r>
                            <w:proofErr w:type="gramEnd"/>
                            <w:r>
                              <w:t xml:space="preserve">. </w:t>
                            </w:r>
                            <w:r w:rsidR="0089402F">
                              <w:t xml:space="preserve">Les adultes présentent </w:t>
                            </w:r>
                            <w:r>
                              <w:t xml:space="preserve">des </w:t>
                            </w:r>
                            <w:r w:rsidR="000F12BC">
                              <w:t>niveaux de consommation</w:t>
                            </w:r>
                            <w:r>
                              <w:t xml:space="preserve"> nettement supérie</w:t>
                            </w:r>
                            <w:r w:rsidR="000F12BC">
                              <w:t>ur</w:t>
                            </w:r>
                            <w:r>
                              <w:t xml:space="preserve">s à la moyenne nationale et ce, quel que soit l’indicateur considéré (usage dans l’année, dans le mois, régulier ou quotidien). Corrélativement, le nombre d’interpellations </w:t>
                            </w:r>
                            <w:r w:rsidRPr="00EA0CBA">
                              <w:rPr>
                                <w:spacing w:val="-3"/>
                              </w:rPr>
                              <w:t>pour infractions à la législ</w:t>
                            </w:r>
                            <w:r>
                              <w:rPr>
                                <w:spacing w:val="-3"/>
                              </w:rPr>
                              <w:t>ation sur les stupéfiants (ILS)</w:t>
                            </w:r>
                            <w:r w:rsidR="00C41E43">
                              <w:rPr>
                                <w:spacing w:val="-3"/>
                              </w:rPr>
                              <w:t>, concernant principalement le c</w:t>
                            </w:r>
                            <w:r>
                              <w:rPr>
                                <w:spacing w:val="-3"/>
                              </w:rPr>
                              <w:t xml:space="preserve">annabis, </w:t>
                            </w:r>
                            <w:r w:rsidRPr="00EA0CBA">
                              <w:rPr>
                                <w:spacing w:val="-3"/>
                              </w:rPr>
                              <w:t xml:space="preserve">se situe à un niveau </w:t>
                            </w:r>
                            <w:r>
                              <w:rPr>
                                <w:spacing w:val="-3"/>
                              </w:rPr>
                              <w:t xml:space="preserve">supérieur à celui de la France </w:t>
                            </w:r>
                            <w:r w:rsidRPr="00EA0CBA">
                              <w:rPr>
                                <w:spacing w:val="-3"/>
                              </w:rPr>
                              <w:t>entière</w:t>
                            </w:r>
                            <w:r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1EE09FFD" w14:textId="77750277" w:rsidR="00F616B9" w:rsidRDefault="00F616B9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 xml:space="preserve">Enfin, s’agissant des autres produits illicites, </w:t>
                            </w:r>
                            <w:r w:rsidR="0089402F">
                              <w:t xml:space="preserve">tandis que les niveaux d’usage chez les adultes de la région </w:t>
                            </w:r>
                            <w:r w:rsidR="00704F1F">
                              <w:t>Provence-Alpes-Côte d’Azur</w:t>
                            </w:r>
                            <w:r w:rsidR="0089402F">
                              <w:t xml:space="preserve"> sont supérieurs </w:t>
                            </w:r>
                            <w:r w:rsidR="00AF46B0">
                              <w:t>à ceux des</w:t>
                            </w:r>
                            <w:r w:rsidR="0089402F">
                              <w:t xml:space="preserve"> autres régions pour la plupart des produits, </w:t>
                            </w:r>
                            <w:r>
                              <w:t>les niveaux d’expérimentation des jeunes de 17 ans sont semblabl</w:t>
                            </w:r>
                            <w:r w:rsidR="00AB57B2">
                              <w:t>es à ceux du reste de la France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spacing w:val="-3"/>
                              </w:rPr>
                              <w:t xml:space="preserve">Plus généralement, la région </w:t>
                            </w:r>
                            <w:r w:rsidR="00704F1F">
                              <w:t>Provence-Alpes-Côte d’Azur</w:t>
                            </w:r>
                            <w:r>
                              <w:rPr>
                                <w:spacing w:val="-3"/>
                              </w:rPr>
                              <w:t xml:space="preserve"> tend </w:t>
                            </w:r>
                            <w:r w:rsidRPr="0085614A">
                              <w:rPr>
                                <w:spacing w:val="-3"/>
                              </w:rPr>
                              <w:t>à se démarquer par</w:t>
                            </w:r>
                            <w:r>
                              <w:rPr>
                                <w:spacing w:val="-3"/>
                              </w:rPr>
                              <w:t xml:space="preserve"> une sur</w:t>
                            </w:r>
                            <w:r w:rsidRPr="0085614A">
                              <w:rPr>
                                <w:spacing w:val="-3"/>
                              </w:rPr>
                              <w:t xml:space="preserve">mortalité </w:t>
                            </w:r>
                            <w:r w:rsidR="00704F1F">
                              <w:rPr>
                                <w:spacing w:val="-3"/>
                              </w:rPr>
                              <w:t xml:space="preserve">due aux </w:t>
                            </w:r>
                            <w:r w:rsidRPr="0085614A">
                              <w:rPr>
                                <w:spacing w:val="-3"/>
                              </w:rPr>
                              <w:t xml:space="preserve">accidents de la route </w:t>
                            </w:r>
                            <w:r w:rsidR="00704F1F">
                              <w:rPr>
                                <w:spacing w:val="-3"/>
                              </w:rPr>
                              <w:t>ou aux</w:t>
                            </w:r>
                            <w:r>
                              <w:rPr>
                                <w:spacing w:val="-3"/>
                              </w:rPr>
                              <w:t xml:space="preserve"> surdoses</w:t>
                            </w:r>
                            <w:r w:rsidR="00704F1F">
                              <w:rPr>
                                <w:spacing w:val="-3"/>
                              </w:rPr>
                              <w:t xml:space="preserve"> liés à l’usage de drogues illicites</w:t>
                            </w:r>
                            <w:r w:rsidR="00D01024"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2A66797D" w14:textId="77777777" w:rsidR="00F616B9" w:rsidRDefault="00F61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73014A" id="Zone de texte 2" o:spid="_x0000_s1027" type="#_x0000_t202" style="position:absolute;margin-left:1.15pt;margin-top:52.1pt;width:469.95pt;height:3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DP+wEAANUDAAAOAAAAZHJzL2Uyb0RvYy54bWysU11v2yAUfZ+0/4B4X+ykSeZYcaquXadJ&#10;3YfU7QdgjGM04DIgsbNf3wt206h7m+YHdOGac+8597C9HrQiR+G8BFPR+SynRBgOjTT7iv78cf+u&#10;oMQHZhqmwIiKnoSn17u3b7a9LcUCOlCNcARBjC97W9EuBFtmmeed0MzPwAqDyRacZgG3bp81jvWI&#10;rlW2yPN11oNrrAMuvMfTuzFJdwm/bQUP39rWi0BURbG3kFaX1jqu2W7Lyr1jtpN8aoP9QxeaSYNF&#10;z1B3LDBycPIvKC25Aw9tmHHQGbSt5CJxQDbz/BWbx45ZkbigON6eZfL/D5Z/PT7a746E4QMMOMBE&#10;wtsH4L88MXDbMbMXN85B3wnWYOF5lCzrrS+nq1FqX/oIUvdfoMEhs0OABDS0TkdVkCdBdBzA6Sy6&#10;GALheLjarIur9YoSjrllUayvFqtUg5XP163z4ZMATWJQUYdTTfDs+OBDbIeVz7/EagbupVJpssqQ&#10;vqKbFUK+ymgZ0HhK6ooWefxGK0SWH02TLgcm1RhjAWUm2pHpyDkM9UBkM2kSVaihOaEODkaf4bvA&#10;oAP3h5IePVZR//vAnKBEfTao5Wa+XEZTps1y9X6BG3eZqS8zzHCEqmigZAxvQzLySOwGNW9lUuOl&#10;k6ll9E4SafJ5NOflPv318hp3TwAAAP//AwBQSwMEFAAGAAgAAAAhAPvqIV/eAAAACQEAAA8AAABk&#10;cnMvZG93bnJldi54bWxMj0FPwzAMhe9I+w+RJ3FjybrCttJ0QiCuoA02iVvWeG21xqmabC3/HnOC&#10;m+339Py9fDO6VlyxD40nDfOZAoFUettQpeHz4/VuBSJEQ9a0nlDDNwbYFJOb3GTWD7TF6y5WgkMo&#10;ZEZDHWOXSRnKGp0JM98hsXbyvTOR176StjcDh7tWJko9SGca4g+16fC5xvK8uzgN+7fT1yFV79WL&#10;u+8GPypJbi21vp2OT48gIo7xzwy/+IwOBTMd/YVsEK2GZMFGPqs0AcH6Ok14OGpYLRdLkEUu/zco&#10;fgAAAP//AwBQSwECLQAUAAYACAAAACEAtoM4kv4AAADhAQAAEwAAAAAAAAAAAAAAAAAAAAAAW0Nv&#10;bnRlbnRfVHlwZXNdLnhtbFBLAQItABQABgAIAAAAIQA4/SH/1gAAAJQBAAALAAAAAAAAAAAAAAAA&#10;AC8BAABfcmVscy8ucmVsc1BLAQItABQABgAIAAAAIQCs0JDP+wEAANUDAAAOAAAAAAAAAAAAAAAA&#10;AC4CAABkcnMvZTJvRG9jLnhtbFBLAQItABQABgAIAAAAIQD76iFf3gAAAAkBAAAPAAAAAAAAAAAA&#10;AAAAAFUEAABkcnMvZG93bnJldi54bWxQSwUGAAAAAAQABADzAAAAYAUAAAAA&#10;" filled="f" stroked="f">
                <v:textbox>
                  <w:txbxContent>
                    <w:p w14:paraId="0AE19902" w14:textId="1BCEF647" w:rsidR="00F616B9" w:rsidRPr="00AA164D" w:rsidRDefault="00F616B9" w:rsidP="00F616B9">
                      <w:pPr>
                        <w:ind w:left="851"/>
                        <w:jc w:val="both"/>
                      </w:pPr>
                      <w:r>
                        <w:t xml:space="preserve">En matière de tabagisme, </w:t>
                      </w:r>
                      <w:r w:rsidRPr="00AA164D">
                        <w:t>la population adulte</w:t>
                      </w:r>
                      <w:r>
                        <w:t xml:space="preserve"> se distingue par des indicateurs de consommation notablement supérieurs</w:t>
                      </w:r>
                      <w:r w:rsidRPr="00AA164D">
                        <w:t xml:space="preserve"> (en 2017, 31</w:t>
                      </w:r>
                      <w:r w:rsidR="00704F1F">
                        <w:t> </w:t>
                      </w:r>
                      <w:r w:rsidRPr="00AA164D">
                        <w:t>% des 18-75 ans étaient des fumeurs quotidiens, contre 27</w:t>
                      </w:r>
                      <w:r w:rsidR="00704F1F">
                        <w:t> </w:t>
                      </w:r>
                      <w:r w:rsidRPr="00AA164D">
                        <w:t>% sur l’ensemb</w:t>
                      </w:r>
                      <w:r>
                        <w:t>le de la France métropolitaine).</w:t>
                      </w:r>
                      <w:r w:rsidRPr="00AA164D">
                        <w:t xml:space="preserve"> </w:t>
                      </w:r>
                      <w:r w:rsidR="00704F1F">
                        <w:t>En revanche, l</w:t>
                      </w:r>
                      <w:r w:rsidR="00C41E43">
                        <w:t>es</w:t>
                      </w:r>
                      <w:r w:rsidR="00745541">
                        <w:t xml:space="preserve"> consommations de tabac des</w:t>
                      </w:r>
                      <w:r w:rsidR="00C41E43">
                        <w:t xml:space="preserve"> jeunes</w:t>
                      </w:r>
                      <w:r w:rsidR="00745541">
                        <w:t xml:space="preserve"> de 17 ans</w:t>
                      </w:r>
                      <w:r w:rsidR="00C41E43">
                        <w:t xml:space="preserve"> de la région</w:t>
                      </w:r>
                      <w:r w:rsidR="00704F1F">
                        <w:t xml:space="preserve"> </w:t>
                      </w:r>
                      <w:r w:rsidR="00C41E43">
                        <w:t>se s</w:t>
                      </w:r>
                      <w:r w:rsidR="00745541">
                        <w:t>ituent dans la moyenne nationale</w:t>
                      </w:r>
                      <w:r w:rsidRPr="00AA164D">
                        <w:t xml:space="preserve">. </w:t>
                      </w:r>
                      <w:r w:rsidR="00C41E43">
                        <w:t>Dans ce contexte de consommation</w:t>
                      </w:r>
                      <w:r w:rsidRPr="00AA164D">
                        <w:t>, la mortalité liée aux cancers des voies pulmonaires ne se détache</w:t>
                      </w:r>
                      <w:r>
                        <w:t xml:space="preserve"> </w:t>
                      </w:r>
                      <w:r w:rsidRPr="00AA164D">
                        <w:t xml:space="preserve">pas de la moyenne nationale. </w:t>
                      </w:r>
                    </w:p>
                    <w:p w14:paraId="0BB79C8C" w14:textId="6B7738D4" w:rsidR="00F616B9" w:rsidRDefault="00F616B9" w:rsidP="00F616B9">
                      <w:pPr>
                        <w:ind w:left="851"/>
                        <w:jc w:val="both"/>
                      </w:pPr>
                      <w:r>
                        <w:t xml:space="preserve">S’agissant de l’alcool, </w:t>
                      </w:r>
                      <w:r w:rsidR="00897AD5">
                        <w:t xml:space="preserve">tandis que les adultes de la région se différencient peu de la moyenne nationale (en dehors des niveaux d’usage quotidien de boissons alcoolisées, plus importants), </w:t>
                      </w:r>
                      <w:r>
                        <w:t>les jeunes de 17 ans se démarquent quasi-systématiquement des autres régions</w:t>
                      </w:r>
                      <w:r w:rsidR="00704F1F">
                        <w:t xml:space="preserve"> </w:t>
                      </w:r>
                      <w:r>
                        <w:t>par des prévalences d’usage moins import</w:t>
                      </w:r>
                      <w:r w:rsidR="00897AD5">
                        <w:t>antes</w:t>
                      </w:r>
                      <w:r>
                        <w:t>. En termes de conséquences des usages, la région P</w:t>
                      </w:r>
                      <w:r w:rsidR="00704F1F">
                        <w:t>rovence-</w:t>
                      </w:r>
                      <w:r>
                        <w:t>A</w:t>
                      </w:r>
                      <w:r w:rsidR="00704F1F">
                        <w:t>lpes-</w:t>
                      </w:r>
                      <w:r>
                        <w:t>C</w:t>
                      </w:r>
                      <w:r w:rsidR="00704F1F">
                        <w:t>ôte d’Azur</w:t>
                      </w:r>
                      <w:r>
                        <w:t xml:space="preserve"> affiche un niveau de mortalité prématurée liée à l’alcool</w:t>
                      </w:r>
                      <w:r w:rsidRPr="00F85A10">
                        <w:t xml:space="preserve"> </w:t>
                      </w:r>
                      <w:r w:rsidR="00897AD5">
                        <w:t xml:space="preserve">(alcoolisme et cirrhose) </w:t>
                      </w:r>
                      <w:r>
                        <w:t xml:space="preserve">inférieur à </w:t>
                      </w:r>
                      <w:r w:rsidR="00AF46B0">
                        <w:t>ce qui est observé au plan</w:t>
                      </w:r>
                      <w:r>
                        <w:t xml:space="preserve"> national.</w:t>
                      </w:r>
                    </w:p>
                    <w:p w14:paraId="1DFD70E4" w14:textId="77777777" w:rsidR="00F616B9" w:rsidRDefault="00F616B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 xml:space="preserve">Pour le cannabis, le niveau d’expérimentation </w:t>
                      </w:r>
                      <w:r w:rsidR="0089402F">
                        <w:t>parmi l’ensemble de la population s’avère</w:t>
                      </w:r>
                      <w:r>
                        <w:t xml:space="preserve"> élevé. </w:t>
                      </w:r>
                      <w:r w:rsidR="0089402F">
                        <w:t xml:space="preserve">Les adultes présentent </w:t>
                      </w:r>
                      <w:r>
                        <w:t xml:space="preserve">des </w:t>
                      </w:r>
                      <w:r w:rsidR="000F12BC">
                        <w:t>niveaux de consommation</w:t>
                      </w:r>
                      <w:r>
                        <w:t xml:space="preserve"> nettement supérie</w:t>
                      </w:r>
                      <w:r w:rsidR="000F12BC">
                        <w:t>ur</w:t>
                      </w:r>
                      <w:r>
                        <w:t xml:space="preserve">s à la moyenne nationale et ce, quel que soit l’indicateur considéré (usage dans l’année, dans le mois, régulier ou quotidien). Corrélativement, le nombre d’interpellations </w:t>
                      </w:r>
                      <w:r w:rsidRPr="00EA0CBA">
                        <w:rPr>
                          <w:spacing w:val="-3"/>
                        </w:rPr>
                        <w:t>pour infractions à la législ</w:t>
                      </w:r>
                      <w:r>
                        <w:rPr>
                          <w:spacing w:val="-3"/>
                        </w:rPr>
                        <w:t>ation sur les stupéfiants (ILS)</w:t>
                      </w:r>
                      <w:r w:rsidR="00C41E43">
                        <w:rPr>
                          <w:spacing w:val="-3"/>
                        </w:rPr>
                        <w:t>, concernant principalement le c</w:t>
                      </w:r>
                      <w:r>
                        <w:rPr>
                          <w:spacing w:val="-3"/>
                        </w:rPr>
                        <w:t xml:space="preserve">annabis, </w:t>
                      </w:r>
                      <w:r w:rsidRPr="00EA0CBA">
                        <w:rPr>
                          <w:spacing w:val="-3"/>
                        </w:rPr>
                        <w:t xml:space="preserve">se situe à un niveau </w:t>
                      </w:r>
                      <w:r>
                        <w:rPr>
                          <w:spacing w:val="-3"/>
                        </w:rPr>
                        <w:t xml:space="preserve">supérieur à celui de la France </w:t>
                      </w:r>
                      <w:r w:rsidRPr="00EA0CBA">
                        <w:rPr>
                          <w:spacing w:val="-3"/>
                        </w:rPr>
                        <w:t>entière</w:t>
                      </w:r>
                      <w:r>
                        <w:rPr>
                          <w:spacing w:val="-3"/>
                        </w:rPr>
                        <w:t>.</w:t>
                      </w:r>
                    </w:p>
                    <w:p w14:paraId="1EE09FFD" w14:textId="77750277" w:rsidR="00F616B9" w:rsidRDefault="00F616B9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 xml:space="preserve">Enfin, s’agissant des autres produits illicites, </w:t>
                      </w:r>
                      <w:r w:rsidR="0089402F">
                        <w:t xml:space="preserve">tandis que les niveaux d’usage chez les adultes de la région </w:t>
                      </w:r>
                      <w:r w:rsidR="00704F1F">
                        <w:t>Provence-Alpes-Côte d’Azur</w:t>
                      </w:r>
                      <w:r w:rsidR="0089402F">
                        <w:t xml:space="preserve"> sont supérieurs </w:t>
                      </w:r>
                      <w:r w:rsidR="00AF46B0">
                        <w:t>à ceux des</w:t>
                      </w:r>
                      <w:r w:rsidR="0089402F">
                        <w:t xml:space="preserve"> autres régions pour la plupart des produits, </w:t>
                      </w:r>
                      <w:r>
                        <w:t>les niveaux d’expérimentation des jeunes de 17 ans sont semblabl</w:t>
                      </w:r>
                      <w:r w:rsidR="00AB57B2">
                        <w:t>es à ceux du reste de la France</w:t>
                      </w:r>
                      <w:r>
                        <w:t xml:space="preserve">. </w:t>
                      </w:r>
                      <w:r>
                        <w:rPr>
                          <w:spacing w:val="-3"/>
                        </w:rPr>
                        <w:t xml:space="preserve">Plus généralement, la région </w:t>
                      </w:r>
                      <w:r w:rsidR="00704F1F">
                        <w:t>Provence-Alpes-Côte d’Azur</w:t>
                      </w:r>
                      <w:r>
                        <w:rPr>
                          <w:spacing w:val="-3"/>
                        </w:rPr>
                        <w:t xml:space="preserve"> tend </w:t>
                      </w:r>
                      <w:r w:rsidRPr="0085614A">
                        <w:rPr>
                          <w:spacing w:val="-3"/>
                        </w:rPr>
                        <w:t>à se démarquer par</w:t>
                      </w:r>
                      <w:r>
                        <w:rPr>
                          <w:spacing w:val="-3"/>
                        </w:rPr>
                        <w:t xml:space="preserve"> une sur</w:t>
                      </w:r>
                      <w:r w:rsidRPr="0085614A">
                        <w:rPr>
                          <w:spacing w:val="-3"/>
                        </w:rPr>
                        <w:t xml:space="preserve">mortalité </w:t>
                      </w:r>
                      <w:r w:rsidR="00704F1F">
                        <w:rPr>
                          <w:spacing w:val="-3"/>
                        </w:rPr>
                        <w:t xml:space="preserve">due aux </w:t>
                      </w:r>
                      <w:r w:rsidRPr="0085614A">
                        <w:rPr>
                          <w:spacing w:val="-3"/>
                        </w:rPr>
                        <w:t xml:space="preserve">accidents de la route </w:t>
                      </w:r>
                      <w:r w:rsidR="00704F1F">
                        <w:rPr>
                          <w:spacing w:val="-3"/>
                        </w:rPr>
                        <w:t>ou aux</w:t>
                      </w:r>
                      <w:r>
                        <w:rPr>
                          <w:spacing w:val="-3"/>
                        </w:rPr>
                        <w:t xml:space="preserve"> surdoses</w:t>
                      </w:r>
                      <w:r w:rsidR="00704F1F">
                        <w:rPr>
                          <w:spacing w:val="-3"/>
                        </w:rPr>
                        <w:t xml:space="preserve"> liés à l’usage de drogues illicites</w:t>
                      </w:r>
                      <w:r w:rsidR="00D01024">
                        <w:rPr>
                          <w:spacing w:val="-3"/>
                        </w:rPr>
                        <w:t>.</w:t>
                      </w:r>
                    </w:p>
                    <w:p w14:paraId="2A66797D" w14:textId="77777777" w:rsidR="00F616B9" w:rsidRDefault="00F616B9"/>
                  </w:txbxContent>
                </v:textbox>
                <w10:wrap type="square" anchorx="margin"/>
              </v:shape>
            </w:pict>
          </mc:Fallback>
        </mc:AlternateContent>
      </w:r>
      <w:r w:rsidR="00F21E1B">
        <w:br w:type="page"/>
      </w:r>
      <w:r w:rsidR="00AB57B2" w:rsidRPr="00A724E9">
        <w:lastRenderedPageBreak/>
        <w:t xml:space="preserve">Usages de produits psychoactifs à l’âge adulte </w:t>
      </w:r>
      <w:r w:rsidR="00AB57B2" w:rsidRPr="00AB57B2">
        <w:rPr>
          <w:sz w:val="18"/>
          <w:szCs w:val="18"/>
        </w:rPr>
        <w:t>(18-75 ans pour l’alcool et le tabac, 18-64 ans pour les autres produits)</w:t>
      </w:r>
      <w:r w:rsidR="00AB57B2" w:rsidRPr="00A724E9">
        <w:t xml:space="preserve"> en 2017 dans la région PACA et en France métropolitaine (%)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3244"/>
        <w:gridCol w:w="629"/>
        <w:gridCol w:w="629"/>
        <w:gridCol w:w="705"/>
        <w:gridCol w:w="781"/>
        <w:gridCol w:w="781"/>
        <w:gridCol w:w="781"/>
      </w:tblGrid>
      <w:tr w:rsidR="00AB57B2" w:rsidRPr="00450AA9" w14:paraId="052715DC" w14:textId="77777777" w:rsidTr="00A97FC5">
        <w:trPr>
          <w:trHeight w:val="300"/>
        </w:trPr>
        <w:tc>
          <w:tcPr>
            <w:tcW w:w="27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4CC265C6" w14:textId="77777777" w:rsidR="00AB57B2" w:rsidRPr="00450AA9" w:rsidRDefault="00AB57B2" w:rsidP="00D42C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8C72C47" w14:textId="77777777" w:rsidR="00AB57B2" w:rsidRPr="00533B1C" w:rsidRDefault="00AB57B2" w:rsidP="00D4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Région PACA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BFA8757" w14:textId="77777777" w:rsidR="00AB57B2" w:rsidRPr="00533B1C" w:rsidRDefault="00AB57B2" w:rsidP="00D4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France métropolitaine </w:t>
            </w:r>
          </w:p>
        </w:tc>
      </w:tr>
      <w:tr w:rsidR="00AB57B2" w:rsidRPr="00450AA9" w14:paraId="18E1611C" w14:textId="77777777" w:rsidTr="00A97FC5">
        <w:trPr>
          <w:trHeight w:val="540"/>
        </w:trPr>
        <w:tc>
          <w:tcPr>
            <w:tcW w:w="27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477E5923" w14:textId="77777777" w:rsidR="00AB57B2" w:rsidRPr="00450AA9" w:rsidRDefault="00AB57B2" w:rsidP="00D42C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52E60BD" w14:textId="77777777" w:rsidR="00AB57B2" w:rsidRPr="00450AA9" w:rsidRDefault="00AB57B2" w:rsidP="00D4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(n=825)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F42285F" w14:textId="77777777" w:rsidR="00AB57B2" w:rsidRPr="00450AA9" w:rsidRDefault="00AB57B2" w:rsidP="00D4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(n=978)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813AC10" w14:textId="77777777" w:rsidR="00AB57B2" w:rsidRPr="00450AA9" w:rsidRDefault="00AB57B2" w:rsidP="00D4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(n=1803)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5BCBCDB" w14:textId="77777777" w:rsidR="00AB57B2" w:rsidRPr="00450AA9" w:rsidRDefault="00AB57B2" w:rsidP="00D4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(n=11596)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4A5C546" w14:textId="77777777" w:rsidR="00AB57B2" w:rsidRPr="00450AA9" w:rsidRDefault="00AB57B2" w:rsidP="00D4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(n=13723)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68DCC3F" w14:textId="77777777" w:rsidR="00AB57B2" w:rsidRPr="00450AA9" w:rsidRDefault="00AB57B2" w:rsidP="00D42C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(n=25319)</w:t>
            </w:r>
          </w:p>
        </w:tc>
      </w:tr>
      <w:tr w:rsidR="000F2F2E" w:rsidRPr="00450AA9" w14:paraId="074505D8" w14:textId="77777777" w:rsidTr="00A97FC5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28F2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811D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0E06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E9E0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0D38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E4D3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576F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93,1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FC90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94,6</w:t>
            </w:r>
          </w:p>
        </w:tc>
      </w:tr>
      <w:tr w:rsidR="000F2F2E" w:rsidRPr="00450AA9" w14:paraId="1048DBE9" w14:textId="77777777" w:rsidTr="00A97FC5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E7A9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4771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611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6F8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5E68" w14:textId="7D882ECD" w:rsidR="000F2F2E" w:rsidRPr="00450AA9" w:rsidRDefault="00510881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8E59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28,4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F2FA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4A66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18,8</w:t>
            </w:r>
          </w:p>
        </w:tc>
      </w:tr>
      <w:tr w:rsidR="000F2F2E" w:rsidRPr="00450AA9" w14:paraId="3C9EC871" w14:textId="77777777" w:rsidTr="00A97FC5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3D9A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337C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quotidien (≥ 30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D28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1D1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B32F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12*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FE20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C240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0D09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10,6</w:t>
            </w:r>
          </w:p>
        </w:tc>
      </w:tr>
      <w:tr w:rsidR="000F2F2E" w:rsidRPr="00450AA9" w14:paraId="7759339F" w14:textId="77777777" w:rsidTr="00A97FC5">
        <w:trPr>
          <w:trHeight w:val="6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D67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B6E6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Dans le mois ( ≥ 1 fois)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97A1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E1EA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38A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6D67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25,2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F211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545C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16,2</w:t>
            </w:r>
          </w:p>
        </w:tc>
      </w:tr>
      <w:tr w:rsidR="000F2F2E" w:rsidRPr="00450AA9" w14:paraId="62BEE754" w14:textId="77777777" w:rsidTr="00A97FC5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51AD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1784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E93C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8B2B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73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F1E0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78*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DE96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13E2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9474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75,7</w:t>
            </w:r>
          </w:p>
        </w:tc>
      </w:tr>
      <w:tr w:rsidR="000F2F2E" w:rsidRPr="00450AA9" w14:paraId="242F4090" w14:textId="77777777" w:rsidTr="00A97FC5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5C67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C1EC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D010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40CA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35*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7F38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28*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484F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31*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C4AE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3A13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D633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27,0</w:t>
            </w:r>
          </w:p>
        </w:tc>
      </w:tr>
      <w:tr w:rsidR="000F2F2E" w:rsidRPr="00450AA9" w14:paraId="09A55933" w14:textId="77777777" w:rsidTr="00A97FC5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AC94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828F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D010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64CA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20*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861B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82CA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16*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5613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F6D0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5038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12,8</w:t>
            </w:r>
          </w:p>
        </w:tc>
      </w:tr>
      <w:tr w:rsidR="000F2F2E" w:rsidRPr="00450AA9" w14:paraId="17BCD383" w14:textId="77777777" w:rsidTr="00A97FC5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BFBD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70B5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8853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60*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B750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49*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45C3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54*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318B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63F5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37,2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8C43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44,8</w:t>
            </w:r>
          </w:p>
        </w:tc>
      </w:tr>
      <w:tr w:rsidR="000F2F2E" w:rsidRPr="00450AA9" w14:paraId="1D618DCC" w14:textId="77777777" w:rsidTr="00A97FC5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B1504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1EC8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l'année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C0D0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19*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8C375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9*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1574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14*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496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6958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0932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11,0</w:t>
            </w:r>
          </w:p>
        </w:tc>
      </w:tr>
      <w:tr w:rsidR="000F2F2E" w:rsidRPr="00450AA9" w14:paraId="3A049FE8" w14:textId="77777777" w:rsidTr="00A97FC5">
        <w:trPr>
          <w:trHeight w:val="300"/>
        </w:trPr>
        <w:tc>
          <w:tcPr>
            <w:tcW w:w="11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97B4A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97DB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7B76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8*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1B9B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3*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FCED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5*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E4FE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B666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1D87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3,6</w:t>
            </w:r>
          </w:p>
        </w:tc>
      </w:tr>
      <w:tr w:rsidR="000F2F2E" w:rsidRPr="00450AA9" w14:paraId="0C822CDE" w14:textId="77777777" w:rsidTr="00A97FC5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5548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885E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567E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15*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D92B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9*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25B4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12*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577D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1BDF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FC1A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8,7</w:t>
            </w:r>
          </w:p>
        </w:tc>
      </w:tr>
      <w:tr w:rsidR="000F2F2E" w:rsidRPr="00450AA9" w14:paraId="36D1E676" w14:textId="77777777" w:rsidTr="00A97FC5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F5B2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9E96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89C8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12*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745B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FF0000"/>
                <w:sz w:val="14"/>
                <w:szCs w:val="14"/>
                <w:lang w:eastAsia="fr-FR"/>
              </w:rPr>
              <w:t>5*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9176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FF0000"/>
                <w:sz w:val="14"/>
                <w:szCs w:val="14"/>
                <w:lang w:eastAsia="fr-FR"/>
              </w:rPr>
              <w:t>8*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43DE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79FB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8652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5,6</w:t>
            </w:r>
          </w:p>
        </w:tc>
      </w:tr>
      <w:tr w:rsidR="000F2F2E" w:rsidRPr="00450AA9" w14:paraId="0B645475" w14:textId="77777777" w:rsidTr="00A97FC5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FB35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FEE4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341D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11*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1AB9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4*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EB0C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7*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FBE8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D73D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FE79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5,0</w:t>
            </w:r>
          </w:p>
        </w:tc>
      </w:tr>
      <w:tr w:rsidR="000F2F2E" w:rsidRPr="00450AA9" w14:paraId="304431C2" w14:textId="77777777" w:rsidTr="00A97FC5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C095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D0D3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E712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11*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951F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C291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8*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1BB4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98F0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1324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5,3</w:t>
            </w:r>
          </w:p>
        </w:tc>
      </w:tr>
      <w:tr w:rsidR="000F2F2E" w:rsidRPr="00450AA9" w14:paraId="4CB61959" w14:textId="77777777" w:rsidTr="00A97FC5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A59C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2C1B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113A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7*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BD01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3*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AE86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5*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1862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28F0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6804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</w:tr>
      <w:tr w:rsidR="000F2F2E" w:rsidRPr="00450AA9" w14:paraId="0A43E63B" w14:textId="77777777" w:rsidTr="00A97FC5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5882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304B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8883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D1B6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2*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F341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3*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F10A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B9BD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6ED6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2,2</w:t>
            </w:r>
          </w:p>
        </w:tc>
      </w:tr>
      <w:tr w:rsidR="000F2F2E" w:rsidRPr="00450AA9" w14:paraId="4D62FDB8" w14:textId="77777777" w:rsidTr="00A97FC5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1AC8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5115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7815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955E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2BE2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7D27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2B45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B156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1,3</w:t>
            </w:r>
          </w:p>
        </w:tc>
      </w:tr>
      <w:tr w:rsidR="000F2F2E" w:rsidRPr="00450AA9" w14:paraId="7DDEC12F" w14:textId="77777777" w:rsidTr="00A97FC5">
        <w:trPr>
          <w:trHeight w:val="300"/>
        </w:trPr>
        <w:tc>
          <w:tcPr>
            <w:tcW w:w="1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5C76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1082" w14:textId="77777777" w:rsidR="000F2F2E" w:rsidRPr="00450AA9" w:rsidRDefault="000F2F2E" w:rsidP="000F2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0572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&lt;0,5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C56D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FF0000"/>
                <w:sz w:val="14"/>
                <w:szCs w:val="14"/>
                <w:lang w:eastAsia="fr-FR"/>
              </w:rPr>
              <w:t>1*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A65D" w14:textId="77777777" w:rsidR="000F2F2E" w:rsidRPr="00450AA9" w:rsidRDefault="000F2F2E" w:rsidP="000F2F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075E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62DC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773B" w14:textId="77777777" w:rsidR="000F2F2E" w:rsidRPr="00D34329" w:rsidRDefault="000F2F2E" w:rsidP="000F2F2E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0,7</w:t>
            </w:r>
          </w:p>
        </w:tc>
      </w:tr>
    </w:tbl>
    <w:p w14:paraId="65A63576" w14:textId="77777777" w:rsidR="00AB57B2" w:rsidRPr="008361EB" w:rsidRDefault="00AB57B2" w:rsidP="00AB57B2">
      <w:pPr>
        <w:pStyle w:val="Sous-titre"/>
      </w:pPr>
      <w:r w:rsidRPr="008361EB">
        <w:t>Source : Baromètre Santé 2017, SPF</w:t>
      </w:r>
    </w:p>
    <w:p w14:paraId="345DE6C8" w14:textId="77777777" w:rsidR="00A60637" w:rsidRDefault="00A60637" w:rsidP="00A60637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116B4440" w14:textId="77777777" w:rsidR="00AB57B2" w:rsidRDefault="00AB57B2" w:rsidP="00AB57B2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Pr="000F609D">
        <w:rPr>
          <w:rFonts w:ascii="Eurocrat" w:hAnsi="Eurocrat"/>
          <w:color w:val="FF0000"/>
          <w:sz w:val="14"/>
          <w:szCs w:val="14"/>
        </w:rPr>
        <w:t>12*</w:t>
      </w:r>
      <w:r>
        <w:rPr>
          <w:rFonts w:ascii="Eurocrat" w:hAnsi="Eurocrat"/>
          <w:color w:val="00B050"/>
          <w:sz w:val="14"/>
          <w:szCs w:val="14"/>
        </w:rPr>
        <w:t xml:space="preserve"> </w:t>
      </w:r>
      <w:r w:rsidRPr="000F609D">
        <w:rPr>
          <w:rFonts w:ascii="Eurocrat" w:hAnsi="Eurocrat"/>
          <w:sz w:val="14"/>
          <w:szCs w:val="14"/>
        </w:rPr>
        <w:t>s</w:t>
      </w:r>
      <w:r>
        <w:rPr>
          <w:rFonts w:ascii="Eurocrat" w:hAnsi="Eurocrat"/>
          <w:color w:val="4A4948"/>
          <w:sz w:val="14"/>
          <w:szCs w:val="14"/>
        </w:rPr>
        <w:t xml:space="preserve">ignifie que l’usage quotidien de tabac dans la région est supérieur </w:t>
      </w:r>
      <w:r w:rsidR="004A0E80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>à celui de leurs homologues du reste de la France.</w:t>
      </w:r>
    </w:p>
    <w:p w14:paraId="5D7022CF" w14:textId="77777777" w:rsidR="00AB57B2" w:rsidRPr="00A724E9" w:rsidRDefault="00AB57B2" w:rsidP="00AB57B2">
      <w:pPr>
        <w:pStyle w:val="Titre2"/>
        <w:spacing w:after="120"/>
      </w:pPr>
      <w:r w:rsidRPr="00A724E9">
        <w:t>Évolution des usages quotidiens de tabac et des usages réguliers d’alcool et de cannabis à 17 ans dans la région PACA et en France métropolitaine entre 2005 et 2017 (%)</w:t>
      </w:r>
    </w:p>
    <w:p w14:paraId="31F439A4" w14:textId="77777777" w:rsidR="00AB57B2" w:rsidRDefault="00AB57B2" w:rsidP="00AB57B2">
      <w:pPr>
        <w:tabs>
          <w:tab w:val="left" w:pos="2459"/>
        </w:tabs>
        <w:rPr>
          <w:b/>
          <w:color w:val="000000" w:themeColor="text1"/>
          <w:sz w:val="18"/>
        </w:rPr>
      </w:pPr>
      <w:r w:rsidRPr="001A385F">
        <w:rPr>
          <w:b/>
          <w:color w:val="000000" w:themeColor="text1"/>
          <w:sz w:val="18"/>
        </w:rPr>
        <w:t xml:space="preserve"> </w:t>
      </w:r>
      <w:r w:rsidRPr="00B66DE2">
        <w:rPr>
          <w:noProof/>
          <w:lang w:eastAsia="fr-FR"/>
        </w:rPr>
        <w:drawing>
          <wp:inline distT="0" distB="0" distL="0" distR="0" wp14:anchorId="1BD70BA4" wp14:editId="23E656B1">
            <wp:extent cx="4467225" cy="268893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845" cy="270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40546" w14:textId="77777777" w:rsidR="00AB57B2" w:rsidRDefault="00AB57B2" w:rsidP="00AB57B2">
      <w:pPr>
        <w:pStyle w:val="Sous-titre"/>
      </w:pPr>
      <w:r w:rsidRPr="00450AA9">
        <w:t xml:space="preserve">Sources : </w:t>
      </w:r>
      <w:r>
        <w:t>Baromètre Santé 2005, 2010, 2014, 2017, SPF</w:t>
      </w:r>
    </w:p>
    <w:p w14:paraId="0F5B06DB" w14:textId="77777777" w:rsidR="00F21E1B" w:rsidRPr="00AB57B2" w:rsidRDefault="001A385F" w:rsidP="00F616B9">
      <w:pPr>
        <w:jc w:val="both"/>
        <w:rPr>
          <w:rFonts w:asciiTheme="majorHAnsi" w:hAnsiTheme="majorHAnsi"/>
          <w:b/>
          <w:sz w:val="24"/>
          <w:szCs w:val="24"/>
        </w:rPr>
      </w:pPr>
      <w:r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lastRenderedPageBreak/>
        <w:t>Usages de produits psychoactifs à 17 ans en 2017</w:t>
      </w:r>
      <w:r w:rsidR="00450AA9"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dans la région PACA et en France métropolitaine (%)</w:t>
      </w:r>
    </w:p>
    <w:tbl>
      <w:tblPr>
        <w:tblW w:w="50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3075"/>
        <w:gridCol w:w="751"/>
        <w:gridCol w:w="751"/>
        <w:gridCol w:w="751"/>
        <w:gridCol w:w="834"/>
        <w:gridCol w:w="834"/>
        <w:gridCol w:w="832"/>
      </w:tblGrid>
      <w:tr w:rsidR="00F6482C" w:rsidRPr="00450AA9" w14:paraId="0D1539B7" w14:textId="77777777" w:rsidTr="00A97FC5">
        <w:trPr>
          <w:trHeight w:val="300"/>
        </w:trPr>
        <w:tc>
          <w:tcPr>
            <w:tcW w:w="2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3222AA6C" w14:textId="77777777" w:rsidR="00F6482C" w:rsidRPr="00450AA9" w:rsidRDefault="00F6482C" w:rsidP="00F64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6F0AC50" w14:textId="77777777" w:rsidR="00F6482C" w:rsidRPr="00533B1C" w:rsidRDefault="00F6482C" w:rsidP="00F64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Région PACA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A0F6EAB" w14:textId="77777777" w:rsidR="00F6482C" w:rsidRPr="00533B1C" w:rsidRDefault="00F6482C" w:rsidP="00F64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France métropolitaine</w:t>
            </w:r>
          </w:p>
        </w:tc>
      </w:tr>
      <w:tr w:rsidR="00F6482C" w:rsidRPr="00450AA9" w14:paraId="01AC1ECB" w14:textId="77777777" w:rsidTr="00A97FC5">
        <w:trPr>
          <w:trHeight w:val="540"/>
        </w:trPr>
        <w:tc>
          <w:tcPr>
            <w:tcW w:w="2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0253DFAD" w14:textId="77777777" w:rsidR="00F6482C" w:rsidRPr="00450AA9" w:rsidRDefault="00F6482C" w:rsidP="00F648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6B89A2E" w14:textId="77777777" w:rsidR="00F6482C" w:rsidRPr="00450AA9" w:rsidRDefault="00F6482C" w:rsidP="00F64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(n=1598)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52FFC89A" w14:textId="77777777" w:rsidR="00F6482C" w:rsidRPr="00450AA9" w:rsidRDefault="00F6482C" w:rsidP="00F64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(n=1485)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9BFB062" w14:textId="77777777" w:rsidR="00F6482C" w:rsidRPr="00450AA9" w:rsidRDefault="00F6482C" w:rsidP="00F64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(n=3083)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9DE83C9" w14:textId="77777777" w:rsidR="00F6482C" w:rsidRPr="00450AA9" w:rsidRDefault="00F6482C" w:rsidP="00F64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(n=19611)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387263E0" w14:textId="77777777" w:rsidR="00F6482C" w:rsidRPr="00450AA9" w:rsidRDefault="00F6482C" w:rsidP="00F64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(n=19504)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76E6883" w14:textId="77777777" w:rsidR="00F6482C" w:rsidRPr="00450AA9" w:rsidRDefault="00F6482C" w:rsidP="00F648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(n=39115)</w:t>
            </w:r>
          </w:p>
        </w:tc>
      </w:tr>
      <w:tr w:rsidR="00A97FC5" w:rsidRPr="00450AA9" w14:paraId="58876C54" w14:textId="77777777" w:rsidTr="00A97FC5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03E0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6FB6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6099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86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B25D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B050"/>
                <w:sz w:val="14"/>
                <w:szCs w:val="14"/>
              </w:rPr>
              <w:t>81*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5907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B050"/>
                <w:sz w:val="14"/>
                <w:szCs w:val="14"/>
              </w:rPr>
              <w:t>84*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20B5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9E51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45BE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85,7</w:t>
            </w:r>
          </w:p>
        </w:tc>
      </w:tr>
      <w:tr w:rsidR="00A97FC5" w:rsidRPr="00450AA9" w14:paraId="0815E184" w14:textId="77777777" w:rsidTr="00A97FC5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B857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DC0A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 (≥ 1 usage)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DD3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B050"/>
                <w:sz w:val="14"/>
                <w:szCs w:val="14"/>
              </w:rPr>
              <w:t>66*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D1D1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B050"/>
                <w:sz w:val="14"/>
                <w:szCs w:val="14"/>
              </w:rPr>
              <w:t>56*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D08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B050"/>
                <w:sz w:val="14"/>
                <w:szCs w:val="14"/>
              </w:rPr>
              <w:t>61*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2A5C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69,9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C5B7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62,9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E376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66,5</w:t>
            </w:r>
          </w:p>
        </w:tc>
      </w:tr>
      <w:tr w:rsidR="00A97FC5" w:rsidRPr="00450AA9" w14:paraId="538F9415" w14:textId="77777777" w:rsidTr="00A97FC5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288C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4C8E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C88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B050"/>
                <w:sz w:val="14"/>
                <w:szCs w:val="14"/>
              </w:rPr>
              <w:t>10*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E90C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2A74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B050"/>
                <w:sz w:val="14"/>
                <w:szCs w:val="14"/>
              </w:rPr>
              <w:t>7*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8DB7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7CB2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A2FD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8,4</w:t>
            </w:r>
          </w:p>
        </w:tc>
      </w:tr>
      <w:tr w:rsidR="00A97FC5" w:rsidRPr="00450AA9" w14:paraId="066931F9" w14:textId="77777777" w:rsidTr="00A97FC5">
        <w:trPr>
          <w:trHeight w:val="6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D11B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CCBA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Répétées (≥ 3 fois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E632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B050"/>
                <w:sz w:val="14"/>
                <w:szCs w:val="14"/>
              </w:rPr>
              <w:t>17*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D1D8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B050"/>
                <w:sz w:val="14"/>
                <w:szCs w:val="14"/>
              </w:rPr>
              <w:t>9*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48D3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B050"/>
                <w:sz w:val="14"/>
                <w:szCs w:val="14"/>
              </w:rPr>
              <w:t>13*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9C11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3B13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10,9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2E53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16,4</w:t>
            </w:r>
          </w:p>
        </w:tc>
      </w:tr>
      <w:tr w:rsidR="00A97FC5" w:rsidRPr="00450AA9" w14:paraId="5233B065" w14:textId="77777777" w:rsidTr="00A97FC5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CED7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B61E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7696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B050"/>
                <w:sz w:val="14"/>
                <w:szCs w:val="14"/>
              </w:rPr>
              <w:t>55*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4297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7C7D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58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94E3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58,1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9B42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282A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59,0</w:t>
            </w:r>
          </w:p>
        </w:tc>
      </w:tr>
      <w:tr w:rsidR="00A97FC5" w:rsidRPr="00450AA9" w14:paraId="7DBAD6DF" w14:textId="77777777" w:rsidTr="00A97FC5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E411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1DB2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D010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EE03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B358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1108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467C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D012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23,8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3841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25,1</w:t>
            </w:r>
          </w:p>
        </w:tc>
      </w:tr>
      <w:tr w:rsidR="00A97FC5" w:rsidRPr="00450AA9" w14:paraId="6A0F7E3A" w14:textId="77777777" w:rsidTr="00A97FC5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313C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86F7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D01024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8619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5B26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BA7E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26A7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94F6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4F00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5,2</w:t>
            </w:r>
          </w:p>
        </w:tc>
      </w:tr>
      <w:tr w:rsidR="00A97FC5" w:rsidRPr="00450AA9" w14:paraId="684D0D36" w14:textId="77777777" w:rsidTr="00A97FC5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5EFE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3400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DC69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44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7E04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39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1914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FF0000"/>
                <w:sz w:val="14"/>
                <w:szCs w:val="14"/>
              </w:rPr>
              <w:t>41*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BB87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0AC8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36,3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467D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39,1</w:t>
            </w:r>
          </w:p>
        </w:tc>
      </w:tr>
      <w:tr w:rsidR="00A97FC5" w:rsidRPr="00450AA9" w14:paraId="4E035534" w14:textId="77777777" w:rsidTr="00A97FC5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0CEB8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5D96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F6F7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59C4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FF0000"/>
                <w:sz w:val="14"/>
                <w:szCs w:val="14"/>
              </w:rPr>
              <w:t>20*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8DBD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8E30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8AF2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5902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</w:t>
            </w:r>
          </w:p>
        </w:tc>
      </w:tr>
      <w:tr w:rsidR="00A97FC5" w:rsidRPr="00450AA9" w14:paraId="5FA68F38" w14:textId="77777777" w:rsidTr="00A97FC5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87D8F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D6B4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85B1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AA05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00A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EA87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0E0A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7D0A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7,2</w:t>
            </w:r>
          </w:p>
        </w:tc>
      </w:tr>
      <w:tr w:rsidR="00A97FC5" w:rsidRPr="00450AA9" w14:paraId="1A0E25D1" w14:textId="77777777" w:rsidTr="00A97FC5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4618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B120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117D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B050"/>
                <w:sz w:val="14"/>
                <w:szCs w:val="14"/>
              </w:rPr>
              <w:t>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9B5C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B050"/>
                <w:sz w:val="14"/>
                <w:szCs w:val="14"/>
              </w:rPr>
              <w:t>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060B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B050"/>
                <w:sz w:val="14"/>
                <w:szCs w:val="14"/>
              </w:rPr>
              <w:t>7*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A3DF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6D9C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0471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8,8</w:t>
            </w:r>
          </w:p>
        </w:tc>
      </w:tr>
      <w:tr w:rsidR="00A97FC5" w:rsidRPr="00450AA9" w14:paraId="43936D94" w14:textId="77777777" w:rsidTr="00A97FC5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7055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4992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0D99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A331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44E7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0AF1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7BCC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615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A97FC5" w:rsidRPr="00450AA9" w14:paraId="2052F27C" w14:textId="77777777" w:rsidTr="00A97FC5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9A77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7695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2A8A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C600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CDFB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0A2D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1AB7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CB6D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3,4</w:t>
            </w:r>
          </w:p>
        </w:tc>
      </w:tr>
      <w:tr w:rsidR="00A97FC5" w:rsidRPr="00450AA9" w14:paraId="35A2CCED" w14:textId="77777777" w:rsidTr="00A97FC5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4961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C8E8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4EBD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7610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0FA3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D986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C685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91D0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A97FC5" w:rsidRPr="00450AA9" w14:paraId="7BBB30A1" w14:textId="77777777" w:rsidTr="00A97FC5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7D4F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180B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1764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366A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4752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BADB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2186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F3D6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1,6</w:t>
            </w:r>
          </w:p>
        </w:tc>
      </w:tr>
      <w:tr w:rsidR="00A97FC5" w:rsidRPr="00450AA9" w14:paraId="6362BB11" w14:textId="77777777" w:rsidTr="00A97FC5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932A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83B5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7B3D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ADBF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6961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84C7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BEA1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F563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2,3</w:t>
            </w:r>
          </w:p>
        </w:tc>
      </w:tr>
      <w:tr w:rsidR="00A97FC5" w:rsidRPr="00450AA9" w14:paraId="10464644" w14:textId="77777777" w:rsidTr="00A97FC5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6ECA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1FA3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8B68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B050"/>
                <w:sz w:val="14"/>
                <w:szCs w:val="14"/>
              </w:rPr>
              <w:t>&lt;0,5</w:t>
            </w:r>
            <w:r w:rsidRPr="00A97FC5">
              <w:rPr>
                <w:rFonts w:ascii="Calibri" w:hAnsi="Calibri" w:cs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CA6E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B9E7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B050"/>
                <w:sz w:val="14"/>
                <w:szCs w:val="14"/>
              </w:rPr>
              <w:t>&lt;0,5</w:t>
            </w:r>
            <w:r w:rsidRPr="00A97FC5">
              <w:rPr>
                <w:rFonts w:ascii="Calibri" w:hAnsi="Calibri" w:cs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8185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CAC6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C05C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</w:tr>
      <w:tr w:rsidR="00A97FC5" w:rsidRPr="00450AA9" w14:paraId="4D70F8B7" w14:textId="77777777" w:rsidTr="00A97FC5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650F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DFCB" w14:textId="77777777" w:rsidR="00A97FC5" w:rsidRPr="00450AA9" w:rsidRDefault="00A97FC5" w:rsidP="00A97F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4597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&lt;0,5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7957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97FC5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BD06" w14:textId="77777777" w:rsidR="00A97FC5" w:rsidRPr="00A97FC5" w:rsidRDefault="00A97FC5" w:rsidP="00A97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&lt;0,5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4E6B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4466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DB9D" w14:textId="77777777" w:rsidR="00A97FC5" w:rsidRPr="00450AA9" w:rsidRDefault="00A97FC5" w:rsidP="00A97F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</w:tr>
    </w:tbl>
    <w:p w14:paraId="020266CA" w14:textId="77777777" w:rsidR="00450AA9" w:rsidRDefault="00450AA9" w:rsidP="008361EB">
      <w:pPr>
        <w:pStyle w:val="Sous-titre"/>
      </w:pPr>
      <w:r w:rsidRPr="00450AA9">
        <w:t>Source : ESCAPAD 2017</w:t>
      </w:r>
      <w:r>
        <w:t>, OFDT</w:t>
      </w:r>
    </w:p>
    <w:p w14:paraId="312E12D9" w14:textId="77777777" w:rsidR="00A60637" w:rsidRDefault="00A60637" w:rsidP="00A60637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4F95E2E7" w14:textId="77777777" w:rsidR="00450AA9" w:rsidRDefault="00450AA9" w:rsidP="00450AA9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A97FC5">
        <w:rPr>
          <w:rFonts w:ascii="Eurocrat" w:hAnsi="Eurocrat"/>
          <w:color w:val="00B050"/>
          <w:sz w:val="14"/>
          <w:szCs w:val="14"/>
        </w:rPr>
        <w:t>55</w:t>
      </w:r>
      <w:r>
        <w:rPr>
          <w:rFonts w:ascii="Eurocrat" w:hAnsi="Eurocrat"/>
          <w:color w:val="00B050"/>
          <w:sz w:val="14"/>
          <w:szCs w:val="14"/>
        </w:rPr>
        <w:t xml:space="preserve">* </w:t>
      </w:r>
      <w:r>
        <w:rPr>
          <w:rFonts w:ascii="Eurocrat" w:hAnsi="Eurocrat"/>
          <w:color w:val="4A4948"/>
          <w:sz w:val="14"/>
          <w:szCs w:val="14"/>
        </w:rPr>
        <w:t xml:space="preserve">signifie que l’expérimentation de tabac des garçons dans la région est </w:t>
      </w:r>
      <w:proofErr w:type="gramStart"/>
      <w:r>
        <w:rPr>
          <w:rFonts w:ascii="Eurocrat" w:hAnsi="Eurocrat"/>
          <w:color w:val="4A4948"/>
          <w:sz w:val="14"/>
          <w:szCs w:val="14"/>
        </w:rPr>
        <w:t>inférieur</w:t>
      </w:r>
      <w:proofErr w:type="gramEnd"/>
      <w:r>
        <w:rPr>
          <w:rFonts w:ascii="Eurocrat" w:hAnsi="Eurocrat"/>
          <w:color w:val="4A4948"/>
          <w:sz w:val="14"/>
          <w:szCs w:val="14"/>
        </w:rPr>
        <w:t xml:space="preserve"> </w:t>
      </w:r>
      <w:r w:rsidR="004A0E80">
        <w:rPr>
          <w:rFonts w:ascii="Eurocrat" w:hAnsi="Eurocrat"/>
          <w:color w:val="4A4948"/>
          <w:sz w:val="14"/>
          <w:szCs w:val="14"/>
        </w:rPr>
        <w:t xml:space="preserve">(test de Chi2 au seuil 0,05) </w:t>
      </w:r>
      <w:r>
        <w:rPr>
          <w:rFonts w:ascii="Eurocrat" w:hAnsi="Eurocrat"/>
          <w:color w:val="4A4948"/>
          <w:sz w:val="14"/>
          <w:szCs w:val="14"/>
        </w:rPr>
        <w:t xml:space="preserve">à celui de leurs homologues </w:t>
      </w:r>
      <w:r w:rsidR="00A724E9">
        <w:rPr>
          <w:rFonts w:ascii="Eurocrat" w:hAnsi="Eurocrat"/>
          <w:color w:val="4A4948"/>
          <w:sz w:val="14"/>
          <w:szCs w:val="14"/>
        </w:rPr>
        <w:t>du reste de la France.</w:t>
      </w:r>
    </w:p>
    <w:p w14:paraId="442EA11E" w14:textId="77777777" w:rsidR="00A724E9" w:rsidRDefault="00A724E9" w:rsidP="00450AA9">
      <w:pPr>
        <w:spacing w:before="5" w:line="242" w:lineRule="auto"/>
        <w:ind w:right="529"/>
        <w:rPr>
          <w:rFonts w:ascii="Eurocrat" w:hAnsi="Eurocrat"/>
          <w:color w:val="000000"/>
          <w:sz w:val="14"/>
          <w:szCs w:val="14"/>
        </w:rPr>
      </w:pPr>
    </w:p>
    <w:p w14:paraId="4BE7D6A3" w14:textId="77777777" w:rsidR="00450AA9" w:rsidRPr="00F616B9" w:rsidRDefault="00F616B9" w:rsidP="00AB57B2">
      <w:pPr>
        <w:pStyle w:val="Titre2"/>
        <w:spacing w:after="120"/>
      </w:pPr>
      <w:r>
        <w:t>É</w:t>
      </w:r>
      <w:r w:rsidR="00450AA9" w:rsidRPr="00F616B9">
        <w:t>volution des usages quotidiens de tabac et des usages réguliers d’alcool et de cannabis à 17 ans dans la région PACA et en France métropolitaine entre 2005 et 2017 (%)</w:t>
      </w:r>
    </w:p>
    <w:p w14:paraId="182203C8" w14:textId="77777777" w:rsidR="00EC2B3A" w:rsidRDefault="00B66DE2" w:rsidP="00F21E1B">
      <w:pPr>
        <w:tabs>
          <w:tab w:val="left" w:pos="2459"/>
        </w:tabs>
        <w:rPr>
          <w:b/>
          <w:color w:val="000000" w:themeColor="text1"/>
          <w:sz w:val="18"/>
        </w:rPr>
      </w:pPr>
      <w:r w:rsidRPr="00AE4C44">
        <w:rPr>
          <w:noProof/>
          <w:lang w:eastAsia="fr-FR"/>
        </w:rPr>
        <w:drawing>
          <wp:inline distT="0" distB="0" distL="0" distR="0" wp14:anchorId="56987C0C" wp14:editId="32DBB798">
            <wp:extent cx="4476750" cy="25740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932" cy="259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7DDF4" w14:textId="77777777" w:rsidR="001A385F" w:rsidRDefault="00450AA9" w:rsidP="008361EB">
      <w:pPr>
        <w:pStyle w:val="Sous-titre"/>
      </w:pPr>
      <w:r w:rsidRPr="00450AA9">
        <w:t>Sources : ESCAPAD 2005, 2008, 2011, 2014, 2017</w:t>
      </w:r>
      <w:r>
        <w:t>, OFDT</w:t>
      </w:r>
    </w:p>
    <w:p w14:paraId="1F0AD2BA" w14:textId="77777777" w:rsidR="001A385F" w:rsidRDefault="001A385F" w:rsidP="00134A9B">
      <w:pPr>
        <w:tabs>
          <w:tab w:val="left" w:pos="2459"/>
        </w:tabs>
        <w:jc w:val="both"/>
        <w:rPr>
          <w:b/>
          <w:color w:val="000000" w:themeColor="text1"/>
          <w:sz w:val="18"/>
        </w:rPr>
      </w:pPr>
    </w:p>
    <w:p w14:paraId="386542C9" w14:textId="7A7D1D34" w:rsidR="00C34F1A" w:rsidRPr="00C8318B" w:rsidRDefault="00C34F1A" w:rsidP="00C34F1A">
      <w:pPr>
        <w:tabs>
          <w:tab w:val="left" w:pos="2459"/>
        </w:tabs>
        <w:jc w:val="both"/>
        <w:rPr>
          <w:rFonts w:eastAsia="Arial Unicode MS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t>Autres indicateurs liés aux usages de produits psychoactifs</w:t>
      </w:r>
      <w:r w:rsidRPr="00C8318B">
        <w:rPr>
          <w:rFonts w:eastAsia="Arial Unicode MS"/>
        </w:rPr>
        <w:t xml:space="preserve"> </w:t>
      </w:r>
    </w:p>
    <w:p w14:paraId="7D42F16C" w14:textId="1FBFDD35" w:rsidR="00212A7B" w:rsidRPr="008361EB" w:rsidRDefault="00212A7B">
      <w:pPr>
        <w:rPr>
          <w:b/>
          <w:color w:val="767171" w:themeColor="background2" w:themeShade="80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2371"/>
        <w:tblW w:w="9209" w:type="dxa"/>
        <w:tblLook w:val="04A0" w:firstRow="1" w:lastRow="0" w:firstColumn="1" w:lastColumn="0" w:noHBand="0" w:noVBand="1"/>
      </w:tblPr>
      <w:tblGrid>
        <w:gridCol w:w="2207"/>
        <w:gridCol w:w="1745"/>
        <w:gridCol w:w="1821"/>
        <w:gridCol w:w="1732"/>
        <w:gridCol w:w="1704"/>
      </w:tblGrid>
      <w:tr w:rsidR="00C41E43" w:rsidRPr="00DC15D8" w14:paraId="0617444B" w14:textId="77777777" w:rsidTr="00AE4C44">
        <w:tc>
          <w:tcPr>
            <w:tcW w:w="2207" w:type="dxa"/>
            <w:shd w:val="clear" w:color="auto" w:fill="D5D5CB"/>
            <w:vAlign w:val="center"/>
          </w:tcPr>
          <w:p w14:paraId="0C34C3DC" w14:textId="77777777" w:rsidR="00C41E43" w:rsidRPr="005E3085" w:rsidRDefault="00C41E43" w:rsidP="00B85E8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D5D5CB"/>
            <w:vAlign w:val="center"/>
          </w:tcPr>
          <w:p w14:paraId="5F4A79B4" w14:textId="77777777" w:rsidR="00C41E43" w:rsidRPr="005E3085" w:rsidRDefault="00C41E43" w:rsidP="00B85E8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5D5CB"/>
            <w:vAlign w:val="center"/>
          </w:tcPr>
          <w:p w14:paraId="472BE3BA" w14:textId="77777777" w:rsidR="00C41E43" w:rsidRPr="00DC15D8" w:rsidRDefault="00C41E43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 w:rsidRPr="00DC15D8">
              <w:rPr>
                <w:b/>
                <w:sz w:val="20"/>
                <w:szCs w:val="18"/>
              </w:rPr>
              <w:t>Provence-Alpes-Côte d’Azur</w:t>
            </w:r>
          </w:p>
        </w:tc>
        <w:tc>
          <w:tcPr>
            <w:tcW w:w="1732" w:type="dxa"/>
            <w:shd w:val="clear" w:color="auto" w:fill="D5D5CB"/>
            <w:vAlign w:val="center"/>
          </w:tcPr>
          <w:p w14:paraId="79CC41A4" w14:textId="77777777" w:rsidR="00C41E43" w:rsidRPr="00DC15D8" w:rsidRDefault="00AE4C44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France entière</w:t>
            </w:r>
          </w:p>
        </w:tc>
        <w:tc>
          <w:tcPr>
            <w:tcW w:w="1704" w:type="dxa"/>
            <w:shd w:val="clear" w:color="auto" w:fill="D5D5CB"/>
            <w:vAlign w:val="center"/>
          </w:tcPr>
          <w:p w14:paraId="2BFF2013" w14:textId="77777777" w:rsidR="00AE4C44" w:rsidRDefault="00AE4C44" w:rsidP="00AE4C44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Rang</w:t>
            </w:r>
          </w:p>
          <w:p w14:paraId="757E372A" w14:textId="77777777" w:rsidR="00C41E43" w:rsidRPr="00AE4C44" w:rsidRDefault="00AE4C44" w:rsidP="00AE4C44">
            <w:pPr>
              <w:tabs>
                <w:tab w:val="left" w:pos="2459"/>
              </w:tabs>
              <w:jc w:val="center"/>
              <w:rPr>
                <w:sz w:val="16"/>
                <w:szCs w:val="16"/>
              </w:rPr>
            </w:pPr>
            <w:r w:rsidRPr="00AE4C44">
              <w:rPr>
                <w:sz w:val="16"/>
                <w:szCs w:val="16"/>
              </w:rPr>
              <w:t xml:space="preserve">(parmi les </w:t>
            </w:r>
            <w:r w:rsidR="00C41E43" w:rsidRPr="00AE4C44">
              <w:rPr>
                <w:sz w:val="16"/>
                <w:szCs w:val="16"/>
              </w:rPr>
              <w:t>13</w:t>
            </w:r>
            <w:r w:rsidRPr="00AE4C44">
              <w:rPr>
                <w:sz w:val="16"/>
                <w:szCs w:val="16"/>
              </w:rPr>
              <w:t xml:space="preserve"> régions métropolitaines</w:t>
            </w:r>
            <w:r w:rsidR="00C41E43" w:rsidRPr="00AE4C44">
              <w:rPr>
                <w:sz w:val="16"/>
                <w:szCs w:val="16"/>
              </w:rPr>
              <w:t>)</w:t>
            </w:r>
          </w:p>
        </w:tc>
      </w:tr>
      <w:tr w:rsidR="00AE4C44" w:rsidRPr="00DC15D8" w14:paraId="70198B1A" w14:textId="77777777" w:rsidTr="00AE4C44">
        <w:trPr>
          <w:trHeight w:val="911"/>
        </w:trPr>
        <w:tc>
          <w:tcPr>
            <w:tcW w:w="2207" w:type="dxa"/>
            <w:vAlign w:val="center"/>
          </w:tcPr>
          <w:p w14:paraId="45A39270" w14:textId="77777777" w:rsidR="00AE4C44" w:rsidRPr="00DC15D8" w:rsidRDefault="00AE4C44" w:rsidP="00AE4C4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cancers du poumon, des bronches et de la trachée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2F35BE70" w14:textId="77777777" w:rsidR="00AE4C44" w:rsidRPr="00DC15D8" w:rsidRDefault="00AE4C44" w:rsidP="00AE4C4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3BD789CE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4,6</w:t>
            </w:r>
          </w:p>
        </w:tc>
        <w:tc>
          <w:tcPr>
            <w:tcW w:w="1732" w:type="dxa"/>
            <w:vAlign w:val="center"/>
          </w:tcPr>
          <w:p w14:paraId="56CE89BD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5,1</w:t>
            </w:r>
          </w:p>
        </w:tc>
        <w:tc>
          <w:tcPr>
            <w:tcW w:w="1704" w:type="dxa"/>
            <w:vAlign w:val="center"/>
          </w:tcPr>
          <w:p w14:paraId="4C86F2B3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AE4C44" w:rsidRPr="00DC15D8" w14:paraId="40969B57" w14:textId="77777777" w:rsidTr="00AE4C44">
        <w:trPr>
          <w:trHeight w:val="698"/>
        </w:trPr>
        <w:tc>
          <w:tcPr>
            <w:tcW w:w="2207" w:type="dxa"/>
            <w:vAlign w:val="center"/>
          </w:tcPr>
          <w:p w14:paraId="1EFA48A0" w14:textId="77777777" w:rsidR="00AE4C44" w:rsidRPr="00DC15D8" w:rsidRDefault="00AE4C44" w:rsidP="00AE4C4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alcoolisme et cirrhose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02C0F66C" w14:textId="77777777" w:rsidR="00AE4C44" w:rsidRPr="00DC15D8" w:rsidRDefault="00AE4C44" w:rsidP="00AE4C4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3FBA4DF9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2,1</w:t>
            </w:r>
          </w:p>
        </w:tc>
        <w:tc>
          <w:tcPr>
            <w:tcW w:w="1732" w:type="dxa"/>
            <w:vAlign w:val="center"/>
          </w:tcPr>
          <w:p w14:paraId="694E20E6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2,3</w:t>
            </w:r>
          </w:p>
        </w:tc>
        <w:tc>
          <w:tcPr>
            <w:tcW w:w="1704" w:type="dxa"/>
            <w:vAlign w:val="center"/>
          </w:tcPr>
          <w:p w14:paraId="7551076B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</w:tr>
      <w:tr w:rsidR="00AE4C44" w:rsidRPr="00DC15D8" w14:paraId="0E311D3C" w14:textId="77777777" w:rsidTr="00AE4C44">
        <w:trPr>
          <w:trHeight w:val="835"/>
        </w:trPr>
        <w:tc>
          <w:tcPr>
            <w:tcW w:w="2207" w:type="dxa"/>
            <w:vAlign w:val="center"/>
          </w:tcPr>
          <w:p w14:paraId="6CD24207" w14:textId="77777777" w:rsidR="00AE4C44" w:rsidRPr="00DC15D8" w:rsidRDefault="00AE4C44" w:rsidP="00AE4C4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corporels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593BF62F" w14:textId="77777777" w:rsidR="00AE4C44" w:rsidRPr="00DC15D8" w:rsidRDefault="00AE4C44" w:rsidP="00AE4C4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corporels au taux d’alcoolémie connu</w:t>
            </w:r>
          </w:p>
        </w:tc>
        <w:tc>
          <w:tcPr>
            <w:tcW w:w="1821" w:type="dxa"/>
            <w:vAlign w:val="center"/>
          </w:tcPr>
          <w:p w14:paraId="6C605BC9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10,4</w:t>
            </w:r>
          </w:p>
        </w:tc>
        <w:tc>
          <w:tcPr>
            <w:tcW w:w="1732" w:type="dxa"/>
            <w:vAlign w:val="center"/>
          </w:tcPr>
          <w:p w14:paraId="47AE31BE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11,7</w:t>
            </w:r>
          </w:p>
        </w:tc>
        <w:tc>
          <w:tcPr>
            <w:tcW w:w="1704" w:type="dxa"/>
            <w:vAlign w:val="center"/>
          </w:tcPr>
          <w:p w14:paraId="00B72C74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AE4C44" w:rsidRPr="00DC15D8" w14:paraId="7B042BD1" w14:textId="77777777" w:rsidTr="00AE4C44">
        <w:trPr>
          <w:trHeight w:val="847"/>
        </w:trPr>
        <w:tc>
          <w:tcPr>
            <w:tcW w:w="2207" w:type="dxa"/>
            <w:vAlign w:val="center"/>
          </w:tcPr>
          <w:p w14:paraId="0D3B3808" w14:textId="77777777" w:rsidR="00AE4C44" w:rsidRPr="00DC15D8" w:rsidRDefault="00AE4C44" w:rsidP="00AE4C4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33E1307C" w14:textId="77777777" w:rsidR="00AE4C44" w:rsidRPr="00DC15D8" w:rsidRDefault="00AE4C44" w:rsidP="00AE4C4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au taux d’alcoolémie connu</w:t>
            </w:r>
          </w:p>
        </w:tc>
        <w:tc>
          <w:tcPr>
            <w:tcW w:w="1821" w:type="dxa"/>
            <w:vAlign w:val="center"/>
          </w:tcPr>
          <w:p w14:paraId="610DCF43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31,7</w:t>
            </w:r>
          </w:p>
        </w:tc>
        <w:tc>
          <w:tcPr>
            <w:tcW w:w="1732" w:type="dxa"/>
            <w:vAlign w:val="center"/>
          </w:tcPr>
          <w:p w14:paraId="69D52719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30,2</w:t>
            </w:r>
          </w:p>
        </w:tc>
        <w:tc>
          <w:tcPr>
            <w:tcW w:w="1704" w:type="dxa"/>
            <w:vAlign w:val="center"/>
          </w:tcPr>
          <w:p w14:paraId="3149E5DD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AE4C44" w:rsidRPr="00DC15D8" w14:paraId="4A71C0AB" w14:textId="77777777" w:rsidTr="00AE4C44">
        <w:trPr>
          <w:trHeight w:val="844"/>
        </w:trPr>
        <w:tc>
          <w:tcPr>
            <w:tcW w:w="2207" w:type="dxa"/>
            <w:vAlign w:val="center"/>
          </w:tcPr>
          <w:p w14:paraId="6A11FDA4" w14:textId="77777777" w:rsidR="00AE4C44" w:rsidRPr="00DC15D8" w:rsidRDefault="00AE4C44" w:rsidP="00AE4C4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présence de stupéfiants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4F3C5B36" w14:textId="77777777" w:rsidR="00AE4C44" w:rsidRPr="00DC15D8" w:rsidRDefault="00AE4C44" w:rsidP="00AE4C4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avec dépistage stupéfiants réalisé</w:t>
            </w:r>
          </w:p>
        </w:tc>
        <w:tc>
          <w:tcPr>
            <w:tcW w:w="1821" w:type="dxa"/>
            <w:vAlign w:val="center"/>
          </w:tcPr>
          <w:p w14:paraId="59841044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29,4</w:t>
            </w:r>
          </w:p>
        </w:tc>
        <w:tc>
          <w:tcPr>
            <w:tcW w:w="1732" w:type="dxa"/>
            <w:vAlign w:val="center"/>
          </w:tcPr>
          <w:p w14:paraId="3A70DEE3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22,3</w:t>
            </w:r>
          </w:p>
        </w:tc>
        <w:tc>
          <w:tcPr>
            <w:tcW w:w="1704" w:type="dxa"/>
            <w:vAlign w:val="center"/>
          </w:tcPr>
          <w:p w14:paraId="172390AB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</w:tr>
      <w:tr w:rsidR="00AE4C44" w:rsidRPr="00DC15D8" w14:paraId="3BC88E1E" w14:textId="77777777" w:rsidTr="00AE4C44">
        <w:trPr>
          <w:trHeight w:val="843"/>
        </w:trPr>
        <w:tc>
          <w:tcPr>
            <w:tcW w:w="2207" w:type="dxa"/>
            <w:vAlign w:val="center"/>
          </w:tcPr>
          <w:p w14:paraId="08F94414" w14:textId="7916DA0F" w:rsidR="00AE4C44" w:rsidRPr="00DC15D8" w:rsidRDefault="00AE4C44" w:rsidP="00AE4C4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Nombre de patients théoriques traités par médicaments de substitution aux opioïdes (201</w:t>
            </w:r>
            <w:r w:rsidR="00C34F1A">
              <w:rPr>
                <w:sz w:val="18"/>
                <w:szCs w:val="18"/>
              </w:rPr>
              <w:t>9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3,4</w:t>
            </w:r>
          </w:p>
        </w:tc>
        <w:tc>
          <w:tcPr>
            <w:tcW w:w="1745" w:type="dxa"/>
            <w:vAlign w:val="center"/>
          </w:tcPr>
          <w:p w14:paraId="5DB57294" w14:textId="77777777" w:rsidR="00AE4C44" w:rsidRPr="00DC15D8" w:rsidRDefault="00AE4C44" w:rsidP="00AE4C4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14F98444" w14:textId="7A8F5BD0" w:rsidR="00AE4C44" w:rsidRDefault="00C34F1A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367,8</w:t>
            </w:r>
          </w:p>
        </w:tc>
        <w:tc>
          <w:tcPr>
            <w:tcW w:w="1732" w:type="dxa"/>
            <w:vAlign w:val="center"/>
          </w:tcPr>
          <w:p w14:paraId="4353D8C7" w14:textId="2C238947" w:rsidR="00AE4C44" w:rsidRDefault="00C34F1A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346,5</w:t>
            </w:r>
          </w:p>
        </w:tc>
        <w:tc>
          <w:tcPr>
            <w:tcW w:w="1704" w:type="dxa"/>
            <w:vAlign w:val="center"/>
          </w:tcPr>
          <w:p w14:paraId="02B02D5A" w14:textId="09E556ED" w:rsidR="00AE4C44" w:rsidRDefault="00C34F1A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</w:tr>
      <w:tr w:rsidR="00AE4C44" w:rsidRPr="00DC15D8" w14:paraId="623A67E8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1800E620" w14:textId="77777777" w:rsidR="00AE4C44" w:rsidRPr="00DC15D8" w:rsidRDefault="00AE4C44" w:rsidP="00AE4C4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par surdoses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75892034" w14:textId="77777777" w:rsidR="00AE4C44" w:rsidRPr="00DC15D8" w:rsidRDefault="00AE4C44" w:rsidP="00AE4C44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28A56F24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1,3</w:t>
            </w:r>
          </w:p>
        </w:tc>
        <w:tc>
          <w:tcPr>
            <w:tcW w:w="1732" w:type="dxa"/>
            <w:vAlign w:val="center"/>
          </w:tcPr>
          <w:p w14:paraId="6DA5827B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0,9</w:t>
            </w:r>
          </w:p>
        </w:tc>
        <w:tc>
          <w:tcPr>
            <w:tcW w:w="1704" w:type="dxa"/>
            <w:vAlign w:val="center"/>
          </w:tcPr>
          <w:p w14:paraId="018B90B0" w14:textId="77777777" w:rsidR="00AE4C44" w:rsidRDefault="00AE4C44" w:rsidP="00AE4C4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C50297" w:rsidRPr="00DC15D8" w14:paraId="79FD4532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684A19B1" w14:textId="3309FCFC" w:rsidR="00C50297" w:rsidRPr="00DC15D8" w:rsidRDefault="00C50297" w:rsidP="00C50297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5E3085">
              <w:rPr>
                <w:sz w:val="18"/>
                <w:szCs w:val="18"/>
              </w:rPr>
              <w:t>Interpellations pour ivresse sur la voie publique</w:t>
            </w:r>
            <w:r>
              <w:rPr>
                <w:sz w:val="18"/>
                <w:szCs w:val="18"/>
              </w:rPr>
              <w:t xml:space="preserve"> (2017)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 w:rsidR="00C34F1A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745" w:type="dxa"/>
            <w:vAlign w:val="center"/>
          </w:tcPr>
          <w:p w14:paraId="7DC8835F" w14:textId="1D4D12BF" w:rsidR="00C50297" w:rsidRPr="00DC15D8" w:rsidRDefault="00C50297" w:rsidP="00C50297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</w:t>
            </w:r>
            <w:r>
              <w:rPr>
                <w:sz w:val="18"/>
                <w:szCs w:val="18"/>
              </w:rPr>
              <w:t xml:space="preserve"> </w:t>
            </w:r>
            <w:r w:rsidRPr="005E3085">
              <w:rPr>
                <w:sz w:val="18"/>
                <w:szCs w:val="18"/>
              </w:rPr>
              <w:t>15 à 74 ans</w:t>
            </w:r>
          </w:p>
        </w:tc>
        <w:tc>
          <w:tcPr>
            <w:tcW w:w="1821" w:type="dxa"/>
            <w:vAlign w:val="center"/>
          </w:tcPr>
          <w:p w14:paraId="1064DF2E" w14:textId="30D4F25E" w:rsidR="00C50297" w:rsidRDefault="00C50297" w:rsidP="00C5029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8,8</w:t>
            </w:r>
          </w:p>
        </w:tc>
        <w:tc>
          <w:tcPr>
            <w:tcW w:w="1732" w:type="dxa"/>
            <w:vAlign w:val="center"/>
          </w:tcPr>
          <w:p w14:paraId="08D2B15F" w14:textId="7462D6D6" w:rsidR="00C50297" w:rsidRDefault="00C50297" w:rsidP="00C5029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10,9</w:t>
            </w:r>
          </w:p>
        </w:tc>
        <w:tc>
          <w:tcPr>
            <w:tcW w:w="1704" w:type="dxa"/>
            <w:vAlign w:val="center"/>
          </w:tcPr>
          <w:p w14:paraId="15EB2BD5" w14:textId="0ED8D604" w:rsidR="00C50297" w:rsidRDefault="00C50297" w:rsidP="00C5029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</w:tr>
      <w:tr w:rsidR="00C50297" w:rsidRPr="00DC15D8" w14:paraId="69E5F618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1C8891C6" w14:textId="46A2009A" w:rsidR="00C50297" w:rsidRPr="00DC15D8" w:rsidRDefault="00C50297" w:rsidP="00C50297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E3085">
              <w:rPr>
                <w:sz w:val="18"/>
                <w:szCs w:val="18"/>
              </w:rPr>
              <w:t xml:space="preserve">nfractions à la </w:t>
            </w:r>
            <w:r>
              <w:rPr>
                <w:sz w:val="18"/>
                <w:szCs w:val="18"/>
              </w:rPr>
              <w:t>législation sur les stupéfiants pour ventes et usages/reventes (20</w:t>
            </w:r>
            <w:r w:rsidR="00C34F1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 w:rsidR="00C34F1A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745" w:type="dxa"/>
            <w:vAlign w:val="center"/>
          </w:tcPr>
          <w:p w14:paraId="3E4D07D6" w14:textId="536AFD06" w:rsidR="00C50297" w:rsidRPr="00DC15D8" w:rsidRDefault="00C50297" w:rsidP="00C50297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 15 à 74 ans</w:t>
            </w:r>
          </w:p>
        </w:tc>
        <w:tc>
          <w:tcPr>
            <w:tcW w:w="1821" w:type="dxa"/>
            <w:vAlign w:val="center"/>
          </w:tcPr>
          <w:p w14:paraId="2C326B58" w14:textId="2EC12170" w:rsidR="00C50297" w:rsidRDefault="00C34F1A" w:rsidP="00C5029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54,9</w:t>
            </w:r>
          </w:p>
        </w:tc>
        <w:tc>
          <w:tcPr>
            <w:tcW w:w="1732" w:type="dxa"/>
            <w:vAlign w:val="center"/>
          </w:tcPr>
          <w:p w14:paraId="254CD734" w14:textId="1A17F9BA" w:rsidR="00C50297" w:rsidRDefault="00C34F1A" w:rsidP="00C5029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38,8</w:t>
            </w:r>
          </w:p>
        </w:tc>
        <w:tc>
          <w:tcPr>
            <w:tcW w:w="1704" w:type="dxa"/>
            <w:vAlign w:val="center"/>
          </w:tcPr>
          <w:p w14:paraId="0FE89D44" w14:textId="05A15B78" w:rsidR="00C50297" w:rsidRDefault="00C50297" w:rsidP="00C5029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</w:tbl>
    <w:p w14:paraId="75B1236B" w14:textId="6DC064CE" w:rsidR="009C1862" w:rsidRPr="00C8318B" w:rsidRDefault="009C1862" w:rsidP="008361EB">
      <w:pPr>
        <w:pStyle w:val="Sous-titre"/>
        <w:rPr>
          <w:rFonts w:eastAsia="Arial Unicode MS"/>
        </w:rPr>
      </w:pPr>
      <w:r w:rsidRPr="00C8318B">
        <w:rPr>
          <w:rFonts w:eastAsia="Arial Unicode MS"/>
        </w:rPr>
        <w:t xml:space="preserve">Sources : </w:t>
      </w:r>
      <w:r w:rsidR="009E5BA6" w:rsidRPr="00C8318B">
        <w:rPr>
          <w:rFonts w:eastAsia="Arial Unicode MS"/>
        </w:rPr>
        <w:t>(1) INSERM-</w:t>
      </w:r>
      <w:proofErr w:type="spellStart"/>
      <w:r w:rsidR="009E5BA6" w:rsidRPr="00C8318B">
        <w:rPr>
          <w:rFonts w:eastAsia="Arial Unicode MS"/>
        </w:rPr>
        <w:t>CépiDc</w:t>
      </w:r>
      <w:proofErr w:type="spellEnd"/>
      <w:r w:rsidR="009E5BA6" w:rsidRPr="00C8318B">
        <w:rPr>
          <w:rFonts w:eastAsia="Arial Unicode MS"/>
        </w:rPr>
        <w:t>, (2) ONISR, (3) GERS-S</w:t>
      </w:r>
      <w:r w:rsidR="008361EB">
        <w:rPr>
          <w:rFonts w:eastAsia="Arial Unicode MS"/>
        </w:rPr>
        <w:t xml:space="preserve">iamois, (4) </w:t>
      </w:r>
      <w:proofErr w:type="spellStart"/>
      <w:r w:rsidR="008361EB">
        <w:rPr>
          <w:rFonts w:eastAsia="Arial Unicode MS"/>
        </w:rPr>
        <w:t>Bouchara-Recordati</w:t>
      </w:r>
      <w:proofErr w:type="spellEnd"/>
      <w:r w:rsidR="00C50297">
        <w:rPr>
          <w:rFonts w:eastAsia="Arial Unicode MS"/>
        </w:rPr>
        <w:t>, (5</w:t>
      </w:r>
      <w:r w:rsidR="00C50297" w:rsidRPr="00C8318B">
        <w:rPr>
          <w:rFonts w:eastAsia="Arial Unicode MS"/>
        </w:rPr>
        <w:t>) DGGN/DGPN/Préfecture de police de Paris, (</w:t>
      </w:r>
      <w:r w:rsidR="00C50297">
        <w:rPr>
          <w:rFonts w:eastAsia="Arial Unicode MS"/>
        </w:rPr>
        <w:t>6</w:t>
      </w:r>
      <w:r w:rsidR="00C50297" w:rsidRPr="00C8318B">
        <w:rPr>
          <w:rFonts w:eastAsia="Arial Unicode MS"/>
        </w:rPr>
        <w:t>) Etat 4001</w:t>
      </w:r>
    </w:p>
    <w:p w14:paraId="27A8BA02" w14:textId="77777777" w:rsidR="005E3085" w:rsidRDefault="005E3085" w:rsidP="00134A9B">
      <w:pPr>
        <w:tabs>
          <w:tab w:val="left" w:pos="2459"/>
        </w:tabs>
        <w:jc w:val="both"/>
        <w:rPr>
          <w:b/>
          <w:color w:val="000000" w:themeColor="text1"/>
          <w:sz w:val="18"/>
        </w:rPr>
      </w:pPr>
    </w:p>
    <w:p w14:paraId="0EF49534" w14:textId="77777777" w:rsidR="000F59CE" w:rsidRDefault="000F59CE" w:rsidP="00AB57B2">
      <w:pPr>
        <w:tabs>
          <w:tab w:val="left" w:pos="2459"/>
        </w:tabs>
        <w:rPr>
          <w:b/>
          <w:color w:val="000000" w:themeColor="text1"/>
          <w:sz w:val="18"/>
        </w:rPr>
      </w:pPr>
    </w:p>
    <w:p w14:paraId="49A0133F" w14:textId="77777777" w:rsidR="00C34F1A" w:rsidRPr="00C8318B" w:rsidRDefault="00C34F1A">
      <w:pPr>
        <w:tabs>
          <w:tab w:val="left" w:pos="2459"/>
        </w:tabs>
        <w:jc w:val="both"/>
        <w:rPr>
          <w:rFonts w:eastAsia="Arial Unicode MS"/>
        </w:rPr>
      </w:pPr>
    </w:p>
    <w:sectPr w:rsidR="00C34F1A" w:rsidRPr="00C8318B" w:rsidSect="008224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D333" w14:textId="77777777" w:rsidR="0012151D" w:rsidRDefault="0012151D" w:rsidP="009C1862">
      <w:pPr>
        <w:spacing w:after="0" w:line="240" w:lineRule="auto"/>
      </w:pPr>
      <w:r>
        <w:separator/>
      </w:r>
    </w:p>
  </w:endnote>
  <w:endnote w:type="continuationSeparator" w:id="0">
    <w:p w14:paraId="1003E3A1" w14:textId="77777777" w:rsidR="0012151D" w:rsidRDefault="0012151D" w:rsidP="009C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cra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227FD" w14:textId="77777777" w:rsidR="009076F5" w:rsidRDefault="009076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B352" w14:textId="7F268015" w:rsidR="00042106" w:rsidRPr="00AE3AC0" w:rsidRDefault="00822438" w:rsidP="009076F5">
    <w:pPr>
      <w:pStyle w:val="Pieddepage"/>
      <w:rPr>
        <w:b/>
        <w:color w:val="767171"/>
        <w:sz w:val="20"/>
        <w:szCs w:val="20"/>
      </w:rPr>
    </w:pPr>
    <w:bookmarkStart w:id="0" w:name="_GoBack"/>
    <w:bookmarkEnd w:id="0"/>
    <w:r>
      <w:rPr>
        <w:b/>
        <w:noProof/>
        <w:color w:val="767171"/>
        <w:sz w:val="20"/>
        <w:szCs w:val="20"/>
        <w:lang w:eastAsia="fr-FR"/>
      </w:rPr>
      <w:drawing>
        <wp:inline distT="0" distB="0" distL="0" distR="0" wp14:anchorId="5ED0BC50" wp14:editId="0BF2D0FB">
          <wp:extent cx="224790" cy="224790"/>
          <wp:effectExtent l="0" t="0" r="381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fdt (carré) [Converti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02" cy="224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767171"/>
        <w:sz w:val="20"/>
        <w:szCs w:val="20"/>
      </w:rPr>
      <w:t xml:space="preserve">    </w:t>
    </w:r>
    <w:r w:rsidR="009076F5" w:rsidRPr="009076F5">
      <w:rPr>
        <w:b/>
        <w:color w:val="767171"/>
        <w:sz w:val="20"/>
        <w:szCs w:val="20"/>
      </w:rPr>
      <w:t>Mise à jour : décembre 2021</w:t>
    </w:r>
  </w:p>
  <w:p w14:paraId="6FAE2B4D" w14:textId="77777777" w:rsidR="00AB1FE2" w:rsidRDefault="00AB1FE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65C2" w14:textId="77777777" w:rsidR="009076F5" w:rsidRDefault="009076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5EA58" w14:textId="77777777" w:rsidR="0012151D" w:rsidRDefault="0012151D" w:rsidP="009C1862">
      <w:pPr>
        <w:spacing w:after="0" w:line="240" w:lineRule="auto"/>
      </w:pPr>
      <w:r>
        <w:separator/>
      </w:r>
    </w:p>
  </w:footnote>
  <w:footnote w:type="continuationSeparator" w:id="0">
    <w:p w14:paraId="436C7FF1" w14:textId="77777777" w:rsidR="0012151D" w:rsidRDefault="0012151D" w:rsidP="009C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32FA" w14:textId="77777777" w:rsidR="009076F5" w:rsidRDefault="009076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BEC63" w14:textId="77777777" w:rsidR="009076F5" w:rsidRDefault="009076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86E7" w14:textId="77777777" w:rsidR="009076F5" w:rsidRDefault="009076F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76"/>
    <w:rsid w:val="000244C2"/>
    <w:rsid w:val="00036253"/>
    <w:rsid w:val="00042106"/>
    <w:rsid w:val="00044B09"/>
    <w:rsid w:val="000F12BC"/>
    <w:rsid w:val="000F2F2E"/>
    <w:rsid w:val="000F59CE"/>
    <w:rsid w:val="000F609D"/>
    <w:rsid w:val="001175CB"/>
    <w:rsid w:val="0012151D"/>
    <w:rsid w:val="00134A9B"/>
    <w:rsid w:val="00143D58"/>
    <w:rsid w:val="0014685F"/>
    <w:rsid w:val="00153B4F"/>
    <w:rsid w:val="001A385F"/>
    <w:rsid w:val="001E2849"/>
    <w:rsid w:val="001F7C76"/>
    <w:rsid w:val="00212A7B"/>
    <w:rsid w:val="00297D29"/>
    <w:rsid w:val="00340BB1"/>
    <w:rsid w:val="00346D5C"/>
    <w:rsid w:val="00357DAB"/>
    <w:rsid w:val="00395489"/>
    <w:rsid w:val="004078AC"/>
    <w:rsid w:val="00450AA9"/>
    <w:rsid w:val="004A0E80"/>
    <w:rsid w:val="004F2570"/>
    <w:rsid w:val="00510881"/>
    <w:rsid w:val="00533B1C"/>
    <w:rsid w:val="00557DB0"/>
    <w:rsid w:val="00557E78"/>
    <w:rsid w:val="005701F3"/>
    <w:rsid w:val="005C7D85"/>
    <w:rsid w:val="005E3085"/>
    <w:rsid w:val="00643EF2"/>
    <w:rsid w:val="006446A1"/>
    <w:rsid w:val="00672F96"/>
    <w:rsid w:val="006E4378"/>
    <w:rsid w:val="00704F1F"/>
    <w:rsid w:val="00732458"/>
    <w:rsid w:val="00745541"/>
    <w:rsid w:val="007F1849"/>
    <w:rsid w:val="00822438"/>
    <w:rsid w:val="008361EB"/>
    <w:rsid w:val="0089402F"/>
    <w:rsid w:val="008948E0"/>
    <w:rsid w:val="00897AD5"/>
    <w:rsid w:val="009076F5"/>
    <w:rsid w:val="009C1862"/>
    <w:rsid w:val="009E5BA6"/>
    <w:rsid w:val="00A53360"/>
    <w:rsid w:val="00A60637"/>
    <w:rsid w:val="00A64905"/>
    <w:rsid w:val="00A724E9"/>
    <w:rsid w:val="00A75BB0"/>
    <w:rsid w:val="00A97FC5"/>
    <w:rsid w:val="00AA2A77"/>
    <w:rsid w:val="00AB1FE2"/>
    <w:rsid w:val="00AB57B2"/>
    <w:rsid w:val="00AB598D"/>
    <w:rsid w:val="00AC1C2B"/>
    <w:rsid w:val="00AE3AC0"/>
    <w:rsid w:val="00AE4C44"/>
    <w:rsid w:val="00AF46B0"/>
    <w:rsid w:val="00B15545"/>
    <w:rsid w:val="00B42C5B"/>
    <w:rsid w:val="00B66DE2"/>
    <w:rsid w:val="00C048FD"/>
    <w:rsid w:val="00C1652D"/>
    <w:rsid w:val="00C34F1A"/>
    <w:rsid w:val="00C41E43"/>
    <w:rsid w:val="00C50297"/>
    <w:rsid w:val="00C8318B"/>
    <w:rsid w:val="00CB02F4"/>
    <w:rsid w:val="00CB5416"/>
    <w:rsid w:val="00D01024"/>
    <w:rsid w:val="00D34C73"/>
    <w:rsid w:val="00DA5A45"/>
    <w:rsid w:val="00DC15D8"/>
    <w:rsid w:val="00EC2B3A"/>
    <w:rsid w:val="00F21E1B"/>
    <w:rsid w:val="00F4642A"/>
    <w:rsid w:val="00F616B9"/>
    <w:rsid w:val="00F6482C"/>
    <w:rsid w:val="00FA6135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C2323B3"/>
  <w15:chartTrackingRefBased/>
  <w15:docId w15:val="{DDE4C757-54ED-43F3-8C3E-AD55B681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7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4E9"/>
    <w:pPr>
      <w:keepNext/>
      <w:keepLines/>
      <w:spacing w:after="0" w:line="240" w:lineRule="exact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1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E1B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E1B"/>
    <w:rPr>
      <w:rFonts w:ascii="Optima" w:eastAsia="Optima" w:hAnsi="Optima" w:cs="Optim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1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724E9"/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table" w:styleId="Grilledutableau">
    <w:name w:val="Table Grid"/>
    <w:basedOn w:val="TableauNormal"/>
    <w:uiPriority w:val="39"/>
    <w:rsid w:val="0013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8361EB"/>
    <w:pPr>
      <w:numPr>
        <w:ilvl w:val="1"/>
      </w:numPr>
      <w:spacing w:after="120"/>
    </w:pPr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8361EB"/>
    <w:rPr>
      <w:rFonts w:eastAsiaTheme="minorEastAsia"/>
      <w:color w:val="5A5A5A" w:themeColor="text1" w:themeTint="A5"/>
      <w:spacing w:val="15"/>
      <w:sz w:val="20"/>
      <w:szCs w:val="20"/>
    </w:rPr>
  </w:style>
  <w:style w:type="paragraph" w:styleId="Notedebasdepage">
    <w:name w:val="footnote text"/>
    <w:basedOn w:val="Normal"/>
    <w:link w:val="NotedebasdepageCar"/>
    <w:unhideWhenUsed/>
    <w:rsid w:val="009C1862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C1862"/>
    <w:rPr>
      <w:rFonts w:ascii="Optima" w:eastAsia="Optima" w:hAnsi="Optima" w:cs="Optima"/>
      <w:sz w:val="20"/>
      <w:szCs w:val="20"/>
    </w:rPr>
  </w:style>
  <w:style w:type="character" w:styleId="Appelnotedebasdep">
    <w:name w:val="footnote reference"/>
    <w:basedOn w:val="Policepardfaut"/>
    <w:unhideWhenUsed/>
    <w:rsid w:val="009C186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85F"/>
  </w:style>
  <w:style w:type="paragraph" w:styleId="Pieddepage">
    <w:name w:val="footer"/>
    <w:basedOn w:val="Normal"/>
    <w:link w:val="Pieddepag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85F"/>
  </w:style>
  <w:style w:type="paragraph" w:styleId="Sansinterligne">
    <w:name w:val="No Spacing"/>
    <w:uiPriority w:val="1"/>
    <w:qFormat/>
    <w:rsid w:val="005C7D8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C7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7E7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57E78"/>
    <w:rPr>
      <w:rFonts w:ascii="Optima" w:eastAsia="Optima" w:hAnsi="Optima" w:cs="Opti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93DF-7244-47A4-89F9-C778D047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1588</TotalTime>
  <Pages>4</Pages>
  <Words>751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Nézet</dc:creator>
  <cp:keywords/>
  <dc:description/>
  <cp:lastModifiedBy>Stanislas Spilka</cp:lastModifiedBy>
  <cp:revision>61</cp:revision>
  <cp:lastPrinted>2019-12-10T15:48:00Z</cp:lastPrinted>
  <dcterms:created xsi:type="dcterms:W3CDTF">2019-07-25T12:02:00Z</dcterms:created>
  <dcterms:modified xsi:type="dcterms:W3CDTF">2021-12-19T17:22:00Z</dcterms:modified>
</cp:coreProperties>
</file>